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BodyText"/>
        <w:ind w:start="142"/>
        <w:rPr>
          <w:rFonts w:ascii="Times New Roman"/>
          <w:sz w:val="20"/>
        </w:rPr>
      </w:pPr>
      <w:r>
        <w:rPr>
          <w:rFonts w:ascii="Times New Roman"/>
          <w:sz w:val="20"/>
        </w:rPr>
        <w:drawing>
          <wp:inline distT="0" distB="0" distL="0" distR="0">
            <wp:extent cx="1450387" cy="722376"/>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450387" cy="722376"/>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81"/>
        <w:rPr>
          <w:rFonts w:ascii="Times New Roman"/>
          <w:sz w:val="20"/>
        </w:rPr>
      </w:pPr>
      <w:r>
        <w:rPr>
          <w:rFonts w:ascii="Times New Roman"/>
          <w:sz w:val="20"/>
        </w:rPr>
        <w:drawing>
          <wp:anchor distT="0" distB="0" distL="0" distR="0" simplePos="0" relativeHeight="487587840" behindDoc="1" locked="0" layoutInCell="1" allowOverlap="1">
            <wp:simplePos x="0" y="0"/>
            <wp:positionH relativeFrom="page">
              <wp:posOffset>720090</wp:posOffset>
            </wp:positionH>
            <wp:positionV relativeFrom="paragraph">
              <wp:posOffset>276644</wp:posOffset>
            </wp:positionV>
            <wp:extent cx="5755485" cy="4336446"/>
            <wp:effectExtent l="0" t="0" r="0" b="0"/>
            <wp:wrapTopAndBottom/>
            <wp:docPr id="4" name="Image 4" descr=""/>
            <wp:cNvGraphicFramePr>
              <a:graphicFrameLocks/>
            </wp:cNvGraphicFramePr>
            <a:graphic>
              <a:graphicData uri="http://schemas.openxmlformats.org/drawingml/2006/picture">
                <pic:pic>
                  <pic:nvPicPr>
                    <pic:cNvPr id="4" name="Image 4" descr=""/>
                    <pic:cNvPicPr/>
                  </pic:nvPicPr>
                  <pic:blipFill>
                    <a:blip r:embed="rId7" cstate="print"/>
                    <a:stretch>
                      <a:fillRect/>
                    </a:stretch>
                  </pic:blipFill>
                  <pic:spPr>
                    <a:xfrm>
                      <a:off x="0" y="0"/>
                      <a:ext cx="5755485" cy="4336446"/>
                    </a:xfrm>
                    <a:prstGeom prst="rect">
                      <a:avLst/>
                    </a:prstGeom>
                  </pic:spPr>
                </pic:pic>
              </a:graphicData>
            </a:graphic>
          </wp:anchor>
        </w:drawing>
      </w:r>
    </w:p>
    <w:p>
      <w:pPr>
        <w:pStyle w:val="BodyText"/>
        <w:spacing w:before="343"/>
        <w:rPr>
          <w:rFonts w:ascii="Times New Roman"/>
          <w:sz w:val="50"/>
        </w:rPr>
      </w:pPr>
    </w:p>
    <w:p>
      <w:pPr>
        <w:pStyle w:val="Title"/>
      </w:pPr>
      <w:r>
        <w:rPr>
          <w:spacing w:val="-4"/>
        </w:rPr>
        <w:t xml:space="preserve">4380</w:t>
      </w:r>
    </w:p>
    <w:p>
      <w:pPr>
        <w:pStyle w:val="Title"/>
        <w:spacing w:before="332"/>
      </w:pPr>
      <w:r>
        <w:rPr>
          <w:spacing w:val="-2"/>
        </w:rPr>
        <w:t xml:space="preserve">Popis projektu</w:t>
      </w:r>
    </w:p>
    <w:p>
      <w:pPr>
        <w:pStyle w:val="BodyText"/>
        <w:spacing w:before="334" w:line="288" w:lineRule="auto"/>
        <w:ind w:start="140" w:end="2970"/>
      </w:pPr>
      <w:r>
        <w:rPr/>
        <w:t xml:space="preserve">Částečná revitalizace </w:t>
      </w:r>
      <w:r>
        <w:rPr/>
        <w:t xml:space="preserve">se zaměřením na </w:t>
      </w:r>
      <w:r>
        <w:rPr/>
        <w:t xml:space="preserve">rekonstrukci požární ochrany PschorrHöfe BT 1-6, Mnichov</w:t>
      </w:r>
    </w:p>
    <w:p>
      <w:pPr>
        <w:pStyle w:val="BodyText"/>
        <w:spacing w:before="240"/>
        <w:ind w:start="140"/>
      </w:pPr>
      <w:r>
        <w:rPr/>
        <w:t xml:space="preserve">Výběrové řízení na </w:t>
      </w:r>
      <w:r>
        <w:rPr/>
        <w:t xml:space="preserve">stavební služby </w:t>
      </w:r>
      <w:r>
        <w:rPr/>
        <w:t xml:space="preserve">ve </w:t>
      </w:r>
      <w:r>
        <w:rPr/>
        <w:t xml:space="preserve">3 </w:t>
      </w:r>
      <w:r>
        <w:rPr>
          <w:spacing w:val="-2"/>
        </w:rPr>
        <w:t xml:space="preserve">částech:</w:t>
      </w:r>
    </w:p>
    <w:p>
      <w:pPr>
        <w:pStyle w:val="BodyText"/>
        <w:spacing w:before="49"/>
        <w:ind w:start="140"/>
      </w:pPr>
      <w:r>
        <w:rPr>
          <w:spacing w:val="-2"/>
        </w:rPr>
        <w:t xml:space="preserve">Vnitřní vybavení </w:t>
      </w:r>
      <w:r>
        <w:rPr>
          <w:spacing w:val="-2"/>
        </w:rPr>
        <w:t xml:space="preserve">a </w:t>
      </w:r>
      <w:r>
        <w:rPr>
          <w:spacing w:val="-2"/>
        </w:rPr>
        <w:t xml:space="preserve">obálka budovy, </w:t>
      </w:r>
      <w:r>
        <w:rPr>
          <w:spacing w:val="-2"/>
        </w:rPr>
        <w:t xml:space="preserve">technické vybavení </w:t>
      </w:r>
      <w:r>
        <w:rPr>
          <w:spacing w:val="-2"/>
        </w:rPr>
        <w:t xml:space="preserve">(HVAC</w:t>
      </w:r>
      <w:r>
        <w:rPr>
          <w:spacing w:val="-2"/>
        </w:rPr>
        <w:t xml:space="preserve">) a technické </w:t>
      </w:r>
      <w:r>
        <w:rPr>
          <w:spacing w:val="-2"/>
        </w:rPr>
        <w:t xml:space="preserve">vybavení </w:t>
      </w:r>
      <w:r>
        <w:rPr>
          <w:spacing w:val="-2"/>
        </w:rPr>
        <w:t xml:space="preserve">(ELT)</w:t>
      </w:r>
    </w:p>
    <w:p>
      <w:pPr>
        <w:pStyle w:val="BodyText"/>
        <w:spacing w:after="0"/>
        <w:sectPr>
          <w:footerReference w:type="default" r:id="rId5"/>
          <w:type w:val="continuous"/>
          <w:pgSz w:w="11910" w:h="16840"/>
          <w:pgMar w:top="1120" w:right="992" w:bottom="820" w:left="992" w:header="0" w:footer="636"/>
          <w:pgNumType w:start="1"/>
        </w:sectPr>
      </w:pPr>
    </w:p>
    <w:p>
      <w:pPr>
        <w:pStyle w:val="BodyText"/>
        <w:ind w:start="142"/>
        <w:rPr>
          <w:sz w:val="20"/>
        </w:rPr>
      </w:pPr>
      <w:r>
        <w:rPr>
          <w:sz w:val="20"/>
        </w:rPr>
        <w:drawing>
          <wp:inline distT="0" distB="0" distL="0" distR="0">
            <wp:extent cx="1444752" cy="722376"/>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444752" cy="722376"/>
                    </a:xfrm>
                    <a:prstGeom prst="rect">
                      <a:avLst/>
                    </a:prstGeom>
                  </pic:spPr>
                </pic:pic>
              </a:graphicData>
            </a:graphic>
          </wp:inline>
        </w:drawing>
      </w:r>
      <w:r>
        <w:rPr>
          <w:sz w:val="20"/>
        </w:rPr>
      </w:r>
    </w:p>
    <w:p>
      <w:pPr>
        <w:pStyle w:val="BodyText"/>
        <w:rPr>
          <w:sz w:val="28"/>
        </w:rPr>
      </w:pPr>
    </w:p>
    <w:p>
      <w:pPr>
        <w:pStyle w:val="BodyText"/>
        <w:rPr>
          <w:sz w:val="28"/>
        </w:rPr>
      </w:pPr>
    </w:p>
    <w:p>
      <w:pPr>
        <w:pStyle w:val="BodyText"/>
        <w:rPr>
          <w:sz w:val="28"/>
        </w:rPr>
      </w:pPr>
    </w:p>
    <w:p>
      <w:pPr>
        <w:pStyle w:val="BodyText"/>
        <w:spacing w:before="19"/>
        <w:rPr>
          <w:sz w:val="28"/>
        </w:rPr>
      </w:pPr>
    </w:p>
    <w:p>
      <w:pPr>
        <w:pStyle w:val="Heading1"/>
        <w:ind w:start="140" w:firstLine="0"/>
      </w:pPr>
      <w:r>
        <w:rPr>
          <w:spacing w:val="-2"/>
        </w:rPr>
        <w:t xml:space="preserve">Obsah</w:t>
      </w:r>
    </w:p>
    <w:sdt>
      <w:sdtPr>
        <w:docPartObj>
          <w:docPartGallery w:val="Table of Contents"/>
          <w:docPartUnique/>
        </w:docPartObj>
      </w:sdtPr>
      <w:sdtEndPr/>
      <w:sdtContent>
        <w:p>
          <w:pPr>
            <w:pStyle w:val="TOC3"/>
            <w:numPr>
              <w:ilvl w:val="0"/>
              <w:numId w:val="1"/>
            </w:numPr>
            <w:tabs>
              <w:tab w:val="left" w:leader="none" w:pos="1273"/>
              <w:tab w:val="right" w:leader="none" w:pos="9779"/>
            </w:tabs>
            <w:spacing w:before="426" w:after="0" w:line="240" w:lineRule="auto"/>
            <w:ind w:start="1273" w:end="0" w:hanging="1133"/>
            <w:jc w:val="left"/>
          </w:pPr>
          <w:hyperlink w:history="true" w:anchor="_bookmark0">
            <w:r>
              <w:rPr>
                <w:spacing w:val="-2"/>
              </w:rPr>
              <w:t xml:space="preserve">Projekt</w:t>
            </w:r>
            <w:r>
              <w:rPr/>
              <w:tab/>
            </w:r>
            <w:r>
              <w:rPr>
                <w:spacing w:val="-10"/>
              </w:rPr>
              <w:t xml:space="preserve">1</w:t>
            </w:r>
          </w:hyperlink>
        </w:p>
        <w:p>
          <w:pPr>
            <w:pStyle w:val="TOC4"/>
            <w:numPr>
              <w:ilvl w:val="1"/>
              <w:numId w:val="1"/>
            </w:numPr>
            <w:tabs>
              <w:tab w:val="left" w:leader="none" w:pos="1273"/>
              <w:tab w:val="right" w:leader="none" w:pos="9779"/>
            </w:tabs>
            <w:spacing w:before="172" w:after="0" w:line="240" w:lineRule="auto"/>
            <w:ind w:start="1273" w:end="0" w:hanging="1133"/>
            <w:jc w:val="left"/>
          </w:pPr>
          <w:hyperlink w:history="true" w:anchor="_bookmark1">
            <w:r>
              <w:rPr>
                <w:spacing w:val="-2"/>
              </w:rPr>
              <w:t xml:space="preserve">Obecné informace</w:t>
            </w:r>
            <w:r>
              <w:rPr/>
              <w:tab/>
            </w:r>
            <w:r>
              <w:rPr>
                <w:spacing w:val="-10"/>
              </w:rPr>
              <w:t xml:space="preserve">1</w:t>
            </w:r>
          </w:hyperlink>
        </w:p>
        <w:p>
          <w:pPr>
            <w:pStyle w:val="TOC4"/>
            <w:numPr>
              <w:ilvl w:val="1"/>
              <w:numId w:val="1"/>
            </w:numPr>
            <w:tabs>
              <w:tab w:val="left" w:leader="none" w:pos="1272"/>
              <w:tab w:val="right" w:leader="none" w:pos="9779"/>
            </w:tabs>
            <w:spacing w:before="169" w:after="0" w:line="240" w:lineRule="auto"/>
            <w:ind w:start="1272" w:end="0" w:hanging="1132"/>
            <w:jc w:val="left"/>
          </w:pPr>
          <w:hyperlink w:history="true" w:anchor="_bookmark2">
            <w:r>
              <w:rPr/>
              <w:t xml:space="preserve">Budova: </w:t>
            </w:r>
            <w:r>
              <w:rPr/>
              <w:t xml:space="preserve">PschorrHöfe </w:t>
            </w:r>
            <w:r>
              <w:rPr/>
              <w:t xml:space="preserve">BT5-6 </w:t>
            </w:r>
            <w:r>
              <w:rPr>
                <w:spacing w:val="-2"/>
              </w:rPr>
              <w:t xml:space="preserve">Mnichov </w:t>
            </w:r>
            <w:r>
              <w:rPr/>
              <w:t xml:space="preserve">lokalita</w:t>
            </w:r>
            <w:r>
              <w:rPr/>
              <w:tab/>
            </w:r>
            <w:r>
              <w:rPr>
                <w:spacing w:val="-10"/>
              </w:rPr>
              <w:t xml:space="preserve">1</w:t>
            </w:r>
          </w:hyperlink>
        </w:p>
        <w:p>
          <w:pPr>
            <w:pStyle w:val="TOC4"/>
            <w:numPr>
              <w:ilvl w:val="1"/>
              <w:numId w:val="1"/>
            </w:numPr>
            <w:tabs>
              <w:tab w:val="left" w:leader="none" w:pos="1272"/>
              <w:tab w:val="right" w:leader="none" w:pos="9778"/>
            </w:tabs>
            <w:spacing w:before="172" w:after="0" w:line="240" w:lineRule="auto"/>
            <w:ind w:start="1272" w:end="0" w:hanging="1132"/>
            <w:jc w:val="left"/>
          </w:pPr>
          <w:hyperlink w:history="true" w:anchor="_bookmark3">
            <w:r>
              <w:rPr>
                <w:spacing w:val="-2"/>
              </w:rPr>
              <w:t xml:space="preserve">Přehled projektu</w:t>
            </w:r>
            <w:r>
              <w:rPr/>
              <w:tab/>
            </w:r>
            <w:r>
              <w:rPr>
                <w:spacing w:val="-10"/>
              </w:rPr>
              <w:t xml:space="preserve">3</w:t>
            </w:r>
          </w:hyperlink>
        </w:p>
        <w:p>
          <w:pPr>
            <w:pStyle w:val="TOC4"/>
            <w:numPr>
              <w:ilvl w:val="1"/>
              <w:numId w:val="1"/>
            </w:numPr>
            <w:tabs>
              <w:tab w:val="left" w:leader="none" w:pos="1272"/>
              <w:tab w:val="right" w:leader="none" w:pos="9778"/>
            </w:tabs>
            <w:spacing w:before="169" w:after="0" w:line="240" w:lineRule="auto"/>
            <w:ind w:start="1272" w:end="0" w:hanging="1132"/>
            <w:jc w:val="left"/>
          </w:pPr>
          <w:hyperlink w:history="true" w:anchor="_bookmark4">
            <w:r>
              <w:rPr/>
              <w:t xml:space="preserve">Cíle projektu </w:t>
            </w:r>
            <w:r>
              <w:rPr/>
              <w:t xml:space="preserve">/ </w:t>
            </w:r>
            <w:r>
              <w:rPr/>
              <w:t xml:space="preserve">hlavní body </w:t>
            </w:r>
            <w:r>
              <w:rPr>
                <w:spacing w:val="-2"/>
              </w:rPr>
              <w:t xml:space="preserve">stavebního projektu</w:t>
            </w:r>
            <w:r>
              <w:rPr/>
              <w:tab/>
            </w:r>
            <w:r>
              <w:rPr>
                <w:spacing w:val="-10"/>
              </w:rPr>
              <w:t xml:space="preserve">3</w:t>
            </w:r>
          </w:hyperlink>
        </w:p>
        <w:p>
          <w:pPr>
            <w:pStyle w:val="TOC5"/>
            <w:numPr>
              <w:ilvl w:val="2"/>
              <w:numId w:val="1"/>
            </w:numPr>
            <w:tabs>
              <w:tab w:val="left" w:leader="none" w:pos="1558"/>
              <w:tab w:val="right" w:leader="none" w:pos="9778"/>
            </w:tabs>
            <w:spacing w:before="172" w:after="0" w:line="240" w:lineRule="auto"/>
            <w:ind w:start="1558" w:end="0" w:hanging="1135"/>
            <w:jc w:val="left"/>
          </w:pPr>
          <w:hyperlink w:history="true" w:anchor="_bookmark5">
            <w:r>
              <w:rPr>
                <w:spacing w:val="-2"/>
              </w:rPr>
              <w:t xml:space="preserve">Požární ochrana</w:t>
            </w:r>
            <w:r>
              <w:rPr/>
              <w:tab/>
            </w:r>
            <w:r>
              <w:rPr>
                <w:spacing w:val="-10"/>
              </w:rPr>
              <w:t xml:space="preserve">3</w:t>
            </w:r>
          </w:hyperlink>
        </w:p>
        <w:p>
          <w:pPr>
            <w:pStyle w:val="TOC5"/>
            <w:numPr>
              <w:ilvl w:val="2"/>
              <w:numId w:val="1"/>
            </w:numPr>
            <w:tabs>
              <w:tab w:val="left" w:leader="none" w:pos="1557"/>
              <w:tab w:val="right" w:leader="none" w:pos="9778"/>
            </w:tabs>
            <w:spacing w:before="169" w:after="0" w:line="240" w:lineRule="auto"/>
            <w:ind w:start="1557" w:end="0" w:hanging="1135"/>
            <w:jc w:val="left"/>
          </w:pPr>
          <w:hyperlink w:history="true" w:anchor="_bookmark6">
            <w:r>
              <w:rPr/>
              <w:t xml:space="preserve">Transparentní </w:t>
            </w:r>
            <w:r>
              <w:rPr>
                <w:spacing w:val="-2"/>
              </w:rPr>
              <w:t xml:space="preserve">pracovní prostředí</w:t>
            </w:r>
            <w:r>
              <w:rPr/>
              <w:tab/>
            </w:r>
            <w:r>
              <w:rPr>
                <w:spacing w:val="-10"/>
              </w:rPr>
              <w:t xml:space="preserve">3</w:t>
            </w:r>
          </w:hyperlink>
        </w:p>
        <w:p>
          <w:pPr>
            <w:pStyle w:val="TOC5"/>
            <w:numPr>
              <w:ilvl w:val="2"/>
              <w:numId w:val="1"/>
            </w:numPr>
            <w:tabs>
              <w:tab w:val="left" w:leader="none" w:pos="1557"/>
              <w:tab w:val="right" w:leader="none" w:pos="9778"/>
            </w:tabs>
            <w:spacing w:before="172" w:after="0" w:line="240" w:lineRule="auto"/>
            <w:ind w:start="1557" w:end="0" w:hanging="1135"/>
            <w:jc w:val="left"/>
          </w:pPr>
          <w:hyperlink w:history="true" w:anchor="_bookmark7">
            <w:r>
              <w:rPr/>
              <w:t xml:space="preserve">Rekonstrukce </w:t>
            </w:r>
            <w:r>
              <w:rPr/>
              <w:t xml:space="preserve">technických </w:t>
            </w:r>
            <w:r>
              <w:rPr>
                <w:spacing w:val="-2"/>
              </w:rPr>
              <w:t xml:space="preserve">systémů</w:t>
            </w:r>
            <w:r>
              <w:rPr/>
              <w:tab/>
            </w:r>
            <w:r>
              <w:rPr>
                <w:spacing w:val="-10"/>
              </w:rPr>
              <w:t xml:space="preserve">4</w:t>
            </w:r>
          </w:hyperlink>
        </w:p>
        <w:p>
          <w:pPr>
            <w:pStyle w:val="TOC5"/>
            <w:numPr>
              <w:ilvl w:val="2"/>
              <w:numId w:val="1"/>
            </w:numPr>
            <w:tabs>
              <w:tab w:val="left" w:leader="none" w:pos="1557"/>
              <w:tab w:val="right" w:leader="none" w:pos="9777"/>
            </w:tabs>
            <w:spacing w:before="170" w:after="0" w:line="240" w:lineRule="auto"/>
            <w:ind w:start="1557" w:end="0" w:hanging="1135"/>
            <w:jc w:val="left"/>
          </w:pPr>
          <w:hyperlink w:history="true" w:anchor="_bookmark8">
            <w:r>
              <w:rPr/>
              <w:t xml:space="preserve">Instalace </w:t>
            </w:r>
            <w:r>
              <w:rPr>
                <w:spacing w:val="-2"/>
              </w:rPr>
              <w:t xml:space="preserve">garáže pro jízdní kola</w:t>
            </w:r>
            <w:r>
              <w:rPr/>
              <w:tab/>
            </w:r>
            <w:r>
              <w:rPr>
                <w:spacing w:val="-10"/>
              </w:rPr>
              <w:t xml:space="preserve">4</w:t>
            </w:r>
          </w:hyperlink>
        </w:p>
        <w:p>
          <w:pPr>
            <w:pStyle w:val="TOC5"/>
            <w:numPr>
              <w:ilvl w:val="2"/>
              <w:numId w:val="1"/>
            </w:numPr>
            <w:tabs>
              <w:tab w:val="left" w:leader="none" w:pos="1557"/>
              <w:tab w:val="right" w:leader="none" w:pos="9777"/>
            </w:tabs>
            <w:spacing w:before="172" w:after="0" w:line="240" w:lineRule="auto"/>
            <w:ind w:start="1557" w:end="0" w:hanging="1135"/>
            <w:jc w:val="left"/>
          </w:pPr>
          <w:hyperlink w:history="true" w:anchor="_bookmark9">
            <w:r>
              <w:rPr/>
              <w:t xml:space="preserve">Výstavba </w:t>
            </w:r>
            <w:r>
              <w:rPr>
                <w:spacing w:val="-2"/>
              </w:rPr>
              <w:t xml:space="preserve">jídelny</w:t>
            </w:r>
            <w:r>
              <w:rPr/>
              <w:tab/>
            </w:r>
            <w:r>
              <w:rPr>
                <w:spacing w:val="-10"/>
              </w:rPr>
              <w:t xml:space="preserve">4</w:t>
            </w:r>
          </w:hyperlink>
        </w:p>
        <w:p>
          <w:pPr>
            <w:pStyle w:val="TOC5"/>
            <w:numPr>
              <w:ilvl w:val="2"/>
              <w:numId w:val="1"/>
            </w:numPr>
            <w:tabs>
              <w:tab w:val="left" w:leader="none" w:pos="1556"/>
              <w:tab w:val="right" w:leader="none" w:pos="9777"/>
            </w:tabs>
            <w:spacing w:before="169" w:after="0" w:line="240" w:lineRule="auto"/>
            <w:ind w:start="1556" w:end="0" w:hanging="1135"/>
            <w:jc w:val="left"/>
          </w:pPr>
          <w:hyperlink w:history="true" w:anchor="_bookmark10">
            <w:r>
              <w:rPr/>
              <w:t xml:space="preserve">Nezávislý </w:t>
            </w:r>
            <w:r>
              <w:rPr/>
              <w:t xml:space="preserve">provoz </w:t>
            </w:r>
            <w:r>
              <w:rPr/>
              <w:t xml:space="preserve">stavebních sekcí </w:t>
            </w:r>
            <w:r>
              <w:rPr>
                <w:spacing w:val="-10"/>
              </w:rPr>
              <w:t xml:space="preserve">PH5-6</w:t>
            </w:r>
            <w:r>
              <w:rPr/>
              <w:tab/>
            </w:r>
            <w:r>
              <w:rPr>
                <w:spacing w:val="-10"/>
              </w:rPr>
              <w:t xml:space="preserve">4</w:t>
            </w:r>
          </w:hyperlink>
        </w:p>
        <w:p>
          <w:pPr>
            <w:pStyle w:val="TOC5"/>
            <w:numPr>
              <w:ilvl w:val="2"/>
              <w:numId w:val="1"/>
            </w:numPr>
            <w:tabs>
              <w:tab w:val="left" w:leader="none" w:pos="1556"/>
              <w:tab w:val="right" w:leader="none" w:pos="9777"/>
            </w:tabs>
            <w:spacing w:before="172" w:after="0" w:line="240" w:lineRule="auto"/>
            <w:ind w:start="1556" w:end="0" w:hanging="1135"/>
            <w:jc w:val="left"/>
          </w:pPr>
          <w:hyperlink w:history="true" w:anchor="_bookmark11">
            <w:r>
              <w:rPr>
                <w:spacing w:val="-2"/>
              </w:rPr>
              <w:t xml:space="preserve">Environmentální opatření</w:t>
            </w:r>
            <w:r>
              <w:rPr/>
              <w:tab/>
            </w:r>
            <w:r>
              <w:rPr>
                <w:spacing w:val="-10"/>
              </w:rPr>
              <w:t xml:space="preserve">4</w:t>
            </w:r>
          </w:hyperlink>
        </w:p>
        <w:p>
          <w:pPr>
            <w:pStyle w:val="TOC2"/>
            <w:numPr>
              <w:ilvl w:val="1"/>
              <w:numId w:val="1"/>
            </w:numPr>
            <w:tabs>
              <w:tab w:val="left" w:leader="none" w:pos="1270"/>
              <w:tab w:val="right" w:leader="none" w:pos="9776"/>
            </w:tabs>
            <w:spacing w:before="169" w:after="0" w:line="240" w:lineRule="auto"/>
            <w:ind w:start="1270" w:end="0" w:hanging="1132"/>
            <w:jc w:val="left"/>
          </w:pPr>
          <w:hyperlink w:history="true" w:anchor="_bookmark12">
            <w:r>
              <w:rPr>
                <w:spacing w:val="-2"/>
              </w:rPr>
              <w:t xml:space="preserve">Organizace projektu</w:t>
            </w:r>
            <w:r>
              <w:rPr/>
              <w:tab/>
            </w:r>
            <w:r>
              <w:rPr>
                <w:spacing w:val="-10"/>
              </w:rPr>
              <w:t xml:space="preserve">5</w:t>
            </w:r>
          </w:hyperlink>
        </w:p>
        <w:p>
          <w:pPr>
            <w:pStyle w:val="TOC5"/>
            <w:numPr>
              <w:ilvl w:val="2"/>
              <w:numId w:val="1"/>
            </w:numPr>
            <w:tabs>
              <w:tab w:val="left" w:leader="none" w:pos="1556"/>
              <w:tab w:val="right" w:leader="none" w:pos="9776"/>
            </w:tabs>
            <w:spacing w:before="172" w:after="0" w:line="240" w:lineRule="auto"/>
            <w:ind w:start="1556" w:end="0" w:hanging="1135"/>
            <w:jc w:val="left"/>
          </w:pPr>
          <w:hyperlink w:history="true" w:anchor="_bookmark13">
            <w:r>
              <w:rPr/>
              <w:t xml:space="preserve">Provádění </w:t>
            </w:r>
            <w:r>
              <w:rPr>
                <w:spacing w:val="-2"/>
              </w:rPr>
              <w:t xml:space="preserve">stavebních prací</w:t>
            </w:r>
            <w:r>
              <w:rPr/>
              <w:tab/>
            </w:r>
            <w:r>
              <w:rPr>
                <w:spacing w:val="-10"/>
              </w:rPr>
              <w:t xml:space="preserve">5</w:t>
            </w:r>
          </w:hyperlink>
        </w:p>
        <w:p>
          <w:pPr>
            <w:pStyle w:val="TOC5"/>
            <w:numPr>
              <w:ilvl w:val="2"/>
              <w:numId w:val="1"/>
            </w:numPr>
            <w:tabs>
              <w:tab w:val="left" w:leader="none" w:pos="1556"/>
              <w:tab w:val="right" w:leader="none" w:pos="9776"/>
            </w:tabs>
            <w:spacing w:before="169" w:after="0" w:line="240" w:lineRule="auto"/>
            <w:ind w:start="1556" w:end="0" w:hanging="1136"/>
            <w:jc w:val="left"/>
          </w:pPr>
          <w:hyperlink w:history="true" w:anchor="_bookmark14">
            <w:r>
              <w:rPr>
                <w:spacing w:val="-2"/>
              </w:rPr>
              <w:t xml:space="preserve">Stavební náklady</w:t>
            </w:r>
            <w:r>
              <w:rPr/>
              <w:tab/>
            </w:r>
            <w:r>
              <w:rPr>
                <w:spacing w:val="-10"/>
              </w:rPr>
              <w:t xml:space="preserve">5</w:t>
            </w:r>
          </w:hyperlink>
        </w:p>
        <w:p>
          <w:pPr>
            <w:pStyle w:val="TOC5"/>
            <w:numPr>
              <w:ilvl w:val="2"/>
              <w:numId w:val="1"/>
            </w:numPr>
            <w:tabs>
              <w:tab w:val="left" w:leader="none" w:pos="1555"/>
              <w:tab w:val="right" w:leader="none" w:pos="9776"/>
            </w:tabs>
            <w:spacing w:before="172" w:after="0" w:line="240" w:lineRule="auto"/>
            <w:ind w:start="1555" w:end="0" w:hanging="1135"/>
            <w:jc w:val="left"/>
          </w:pPr>
          <w:hyperlink w:history="true" w:anchor="_bookmark15">
            <w:r>
              <w:rPr>
                <w:spacing w:val="-2"/>
              </w:rPr>
              <w:t xml:space="preserve">Projektová dokumentace</w:t>
            </w:r>
            <w:r>
              <w:rPr/>
              <w:tab/>
            </w:r>
            <w:r>
              <w:rPr>
                <w:spacing w:val="-10"/>
              </w:rPr>
              <w:t xml:space="preserve">5</w:t>
            </w:r>
          </w:hyperlink>
        </w:p>
        <w:p>
          <w:pPr>
            <w:pStyle w:val="TOC5"/>
            <w:numPr>
              <w:ilvl w:val="2"/>
              <w:numId w:val="1"/>
            </w:numPr>
            <w:tabs>
              <w:tab w:val="left" w:leader="none" w:pos="1555"/>
              <w:tab w:val="right" w:leader="none" w:pos="9776"/>
            </w:tabs>
            <w:spacing w:before="170" w:after="0" w:line="240" w:lineRule="auto"/>
            <w:ind w:start="1555" w:end="0" w:hanging="1135"/>
            <w:jc w:val="left"/>
          </w:pPr>
          <w:hyperlink w:history="true" w:anchor="_bookmark16">
            <w:r>
              <w:rPr/>
              <w:t xml:space="preserve">Strategie provádění: </w:t>
            </w:r>
            <w:r>
              <w:rPr/>
              <w:t xml:space="preserve">štíhlý </w:t>
            </w:r>
            <w:r>
              <w:rPr/>
              <w:t xml:space="preserve">management </w:t>
            </w:r>
            <w:r>
              <w:rPr/>
              <w:t xml:space="preserve">- </w:t>
            </w:r>
            <w:r>
              <w:rPr/>
              <w:t xml:space="preserve">štíhlá </w:t>
            </w:r>
            <w:r>
              <w:rPr>
                <w:spacing w:val="-2"/>
              </w:rPr>
              <w:t xml:space="preserve">konstrukce</w:t>
            </w:r>
            <w:r>
              <w:rPr/>
              <w:tab/>
            </w:r>
            <w:r>
              <w:rPr>
                <w:spacing w:val="-10"/>
              </w:rPr>
              <w:t xml:space="preserve">5</w:t>
            </w:r>
          </w:hyperlink>
        </w:p>
        <w:p>
          <w:pPr>
            <w:pStyle w:val="TOC1"/>
            <w:numPr>
              <w:ilvl w:val="0"/>
              <w:numId w:val="1"/>
            </w:numPr>
            <w:tabs>
              <w:tab w:val="left" w:leader="none" w:pos="1269"/>
              <w:tab w:val="right" w:leader="none" w:pos="9776"/>
            </w:tabs>
            <w:spacing w:before="412" w:after="0" w:line="240" w:lineRule="auto"/>
            <w:ind w:start="1269" w:end="0" w:hanging="1132"/>
            <w:jc w:val="left"/>
          </w:pPr>
          <w:hyperlink w:history="true" w:anchor="_bookmark17">
            <w:r>
              <w:rPr>
                <w:spacing w:val="-2"/>
              </w:rPr>
              <w:t xml:space="preserve">Služby, </w:t>
            </w:r>
            <w:r>
              <w:rPr>
                <w:spacing w:val="-2"/>
              </w:rPr>
              <w:t xml:space="preserve">na </w:t>
            </w:r>
            <w:r>
              <w:rPr>
                <w:spacing w:val="-2"/>
              </w:rPr>
              <w:t xml:space="preserve">které </w:t>
            </w:r>
            <w:r>
              <w:rPr>
                <w:spacing w:val="-2"/>
              </w:rPr>
              <w:t xml:space="preserve">se vztahuje nabídkové řízení</w:t>
            </w:r>
            <w:r>
              <w:rPr/>
              <w:tab/>
            </w:r>
            <w:r>
              <w:rPr>
                <w:spacing w:val="-10"/>
              </w:rPr>
              <w:t xml:space="preserve">6</w:t>
            </w:r>
          </w:hyperlink>
        </w:p>
        <w:p>
          <w:pPr>
            <w:pStyle w:val="TOC1"/>
            <w:numPr>
              <w:ilvl w:val="0"/>
              <w:numId w:val="1"/>
            </w:numPr>
            <w:tabs>
              <w:tab w:val="left" w:leader="none" w:pos="1269"/>
              <w:tab w:val="right" w:leader="none" w:pos="9775"/>
            </w:tabs>
            <w:spacing w:before="409" w:after="0" w:line="240" w:lineRule="auto"/>
            <w:ind w:start="1269" w:end="0" w:hanging="1132"/>
            <w:jc w:val="left"/>
          </w:pPr>
          <w:hyperlink w:history="true" w:anchor="_bookmark18">
            <w:r>
              <w:rPr>
                <w:spacing w:val="-2"/>
              </w:rPr>
              <w:t xml:space="preserve">Data</w:t>
            </w:r>
            <w:r>
              <w:rPr/>
              <w:tab/>
            </w:r>
            <w:r>
              <w:rPr>
                <w:spacing w:val="-10"/>
              </w:rPr>
              <w:t xml:space="preserve">6</w:t>
            </w:r>
          </w:hyperlink>
        </w:p>
      </w:sdtContent>
    </w:sdt>
    <w:p>
      <w:pPr>
        <w:pStyle w:val="TOC1"/>
        <w:spacing w:after="0" w:line="240" w:lineRule="auto"/>
        <w:jc w:val="left"/>
        <w:sectPr>
          <w:footerReference w:type="default" r:id="rId8"/>
          <w:pgSz w:w="11910" w:h="16840"/>
          <w:pgMar w:top="540" w:right="992" w:bottom="820" w:left="992" w:header="0" w:footer="635"/>
        </w:sectPr>
      </w:pPr>
    </w:p>
    <w:p>
      <w:pPr>
        <w:pStyle w:val="BodyText"/>
        <w:ind w:start="142"/>
        <w:rPr>
          <w:sz w:val="20"/>
        </w:rPr>
      </w:pPr>
      <w:r>
        <w:rPr>
          <w:sz w:val="20"/>
        </w:rPr>
        <w:drawing>
          <wp:inline distT="0" distB="0" distL="0" distR="0">
            <wp:extent cx="1444752" cy="722376"/>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1444752" cy="722376"/>
                    </a:xfrm>
                    <a:prstGeom prst="rect">
                      <a:avLst/>
                    </a:prstGeom>
                  </pic:spPr>
                </pic:pic>
              </a:graphicData>
            </a:graphic>
          </wp:inline>
        </w:drawing>
      </w:r>
      <w:r>
        <w:rPr>
          <w:sz w:val="20"/>
        </w:rPr>
      </w:r>
    </w:p>
    <w:p>
      <w:pPr>
        <w:pStyle w:val="BodyText"/>
        <w:rPr>
          <w:b/>
          <w:sz w:val="28"/>
        </w:rPr>
      </w:pPr>
    </w:p>
    <w:p>
      <w:pPr>
        <w:pStyle w:val="BodyText"/>
        <w:spacing w:before="20"/>
        <w:rPr>
          <w:b/>
          <w:sz w:val="28"/>
        </w:rPr>
      </w:pPr>
    </w:p>
    <w:p>
      <w:pPr>
        <w:pStyle w:val="Heading1"/>
        <w:numPr>
          <w:ilvl w:val="0"/>
          <w:numId w:val="2"/>
        </w:numPr>
        <w:tabs>
          <w:tab w:val="left" w:leader="none" w:pos="707"/>
        </w:tabs>
        <w:spacing w:before="0" w:after="0" w:line="240" w:lineRule="auto"/>
        <w:ind w:start="707" w:end="0" w:hanging="567"/>
        <w:jc w:val="left"/>
      </w:pPr>
      <w:bookmarkStart w:name="1. Projekt" w:id="1"/>
      <w:bookmarkEnd w:id="1"/>
      <w:r>
        <w:rPr>
          <w:b w:val="0"/>
        </w:rPr>
      </w:r>
      <w:bookmarkStart w:name="_bookmark0" w:id="2"/>
      <w:bookmarkEnd w:id="2"/>
      <w:r>
        <w:rPr>
          <w:b w:val="0"/>
        </w:rPr>
      </w:r>
      <w:r>
        <w:rPr>
          <w:spacing w:val="-2"/>
        </w:rPr>
        <w:t xml:space="preserve">Projekt</w:t>
      </w:r>
    </w:p>
    <w:p>
      <w:pPr>
        <w:pStyle w:val="Heading2"/>
        <w:numPr>
          <w:ilvl w:val="1"/>
          <w:numId w:val="2"/>
        </w:numPr>
        <w:tabs>
          <w:tab w:val="left" w:leader="none" w:pos="819"/>
        </w:tabs>
        <w:spacing w:before="284" w:after="0" w:line="240" w:lineRule="auto"/>
        <w:ind w:start="819" w:end="0" w:hanging="679"/>
        <w:jc w:val="left"/>
      </w:pPr>
      <w:bookmarkStart w:name="1.1 Allgemeines" w:id="3"/>
      <w:bookmarkEnd w:id="3"/>
      <w:r>
        <w:rPr>
          <w:b w:val="0"/>
        </w:rPr>
      </w:r>
      <w:bookmarkStart w:name="_bookmark1" w:id="4"/>
      <w:bookmarkEnd w:id="4"/>
      <w:r>
        <w:rPr>
          <w:b w:val="0"/>
        </w:rPr>
      </w:r>
      <w:r>
        <w:rPr>
          <w:spacing w:val="-2"/>
        </w:rPr>
        <w:t xml:space="preserve">Obecné informace</w:t>
      </w:r>
    </w:p>
    <w:p>
      <w:pPr>
        <w:pStyle w:val="BodyText"/>
        <w:spacing w:before="273" w:line="288" w:lineRule="auto"/>
        <w:ind w:start="140" w:end="140"/>
        <w:jc w:val="both"/>
      </w:pPr>
      <w:r>
        <w:rPr/>
        <w:t xml:space="preserve">Evropská patentová organizace (EPO) je mezivládní organizace založená Evropskou patentovou úmluvou, která vstoupila v platnost v roce 1977. V současné době má 39 členských států (Albánie, Belgie, Bulharsko, Černá Hora, Česká republika, Dánsko, Estonsko, Finsko, Francie, Chorvatsko, Irsko, Island, Itálie, Kypr, Lichtenštejnsko, Litva, Lotyšsko, Lucembursko, Maďarsko, Malta, Monako, Německo, Nizozemsko, Severní Makedonie, Norsko, Polsko, Portugalsko, Rakousko, Rumunsko, Řecko, San Marino, Srbsko, Slovensko, Slovinsko, Spojené království, Španělsko, Švédsko, Švýcarsko a Turecko).</w:t>
      </w:r>
    </w:p>
    <w:p>
      <w:pPr>
        <w:pStyle w:val="BodyText"/>
        <w:spacing w:before="220" w:line="288" w:lineRule="auto"/>
        <w:ind w:start="140" w:end="140"/>
        <w:jc w:val="both"/>
      </w:pPr>
      <w:r>
        <w:rPr/>
        <w:t xml:space="preserve">Výkonným orgánem Evropského patentového úřadu (EPO) je Evropský patentový úřad (EPO), který </w:t>
      </w:r>
      <w:r>
        <w:rPr>
          <w:spacing w:val="-7"/>
        </w:rPr>
        <w:t xml:space="preserve">je</w:t>
      </w:r>
      <w:r>
        <w:rPr/>
        <w:t xml:space="preserve"> odpovědný </w:t>
      </w:r>
      <w:r>
        <w:rPr/>
        <w:t xml:space="preserve">za</w:t>
      </w:r>
      <w:r>
        <w:rPr/>
        <w:t xml:space="preserve"> rešerše a průzkum </w:t>
      </w:r>
      <w:r>
        <w:rPr/>
        <w:t xml:space="preserve">evropských </w:t>
      </w:r>
      <w:r>
        <w:rPr/>
        <w:t xml:space="preserve">patentových přihlášek </w:t>
      </w:r>
      <w:r>
        <w:rPr/>
        <w:t xml:space="preserve">a </w:t>
      </w:r>
      <w:r>
        <w:rPr/>
        <w:t xml:space="preserve">udělování </w:t>
      </w:r>
      <w:r>
        <w:rPr/>
        <w:t xml:space="preserve">evropských </w:t>
      </w:r>
      <w:r>
        <w:rPr/>
        <w:t xml:space="preserve">patentů</w:t>
      </w:r>
      <w:r>
        <w:rPr/>
        <w:t xml:space="preserve">. Zaměstnává přibližně 6 300 zaměstnanců v ústředí v Mnichově, v pobočce v Haagu (Rijswijk (NL)) a ve dvou kancelářích v Berlíně a ve Vídni.</w:t>
      </w:r>
    </w:p>
    <w:p>
      <w:pPr>
        <w:pStyle w:val="BodyText"/>
        <w:spacing w:before="221" w:line="288" w:lineRule="auto"/>
        <w:ind w:start="140" w:end="141"/>
        <w:jc w:val="both"/>
      </w:pPr>
      <w:r>
        <w:rPr/>
        <w:t xml:space="preserve">Evropský patentový úřad provádí rešerše a věcný průzkum evropských patentových přihlášek a mezinárodních přihlášek podle Smlouvy o patentové spolupráci, jejichž počet v posledních letech neustále roste.</w:t>
      </w:r>
    </w:p>
    <w:p>
      <w:pPr>
        <w:pStyle w:val="BodyText"/>
        <w:spacing w:before="220" w:line="288" w:lineRule="auto"/>
        <w:ind w:start="140" w:end="140"/>
        <w:jc w:val="both"/>
      </w:pPr>
      <w:r>
        <w:rPr/>
        <w:t xml:space="preserve">Evropský patentový úřad </w:t>
      </w:r>
      <w:r>
        <w:rPr/>
        <w:t xml:space="preserve">označuje </w:t>
      </w:r>
      <w:r>
        <w:rPr/>
        <w:t xml:space="preserve">průzkum </w:t>
      </w:r>
      <w:r>
        <w:rPr/>
        <w:t xml:space="preserve">a </w:t>
      </w:r>
      <w:r>
        <w:rPr/>
        <w:t xml:space="preserve">zkoumání </w:t>
      </w:r>
      <w:r>
        <w:rPr/>
        <w:t xml:space="preserve">patentů </w:t>
      </w:r>
      <w:r>
        <w:rPr/>
        <w:t xml:space="preserve">jako "výrobu". </w:t>
      </w:r>
      <w:r>
        <w:rPr/>
        <w:t xml:space="preserve">Tím je </w:t>
      </w:r>
      <w:r>
        <w:rPr/>
        <w:t xml:space="preserve">také </w:t>
      </w:r>
      <w:r>
        <w:rPr>
          <w:spacing w:val="-8"/>
        </w:rPr>
        <w:t xml:space="preserve">zdůrazněn </w:t>
      </w:r>
      <w:r>
        <w:rPr/>
        <w:t xml:space="preserve">význam </w:t>
      </w:r>
      <w:r>
        <w:rPr/>
        <w:t xml:space="preserve">kancelářských pracovišť </w:t>
      </w:r>
      <w:r>
        <w:rPr/>
        <w:t xml:space="preserve">a </w:t>
      </w:r>
      <w:r>
        <w:rPr/>
        <w:t xml:space="preserve">jednacích místností</w:t>
      </w:r>
      <w:r>
        <w:rPr/>
        <w:t xml:space="preserve">. </w:t>
      </w:r>
      <w:r>
        <w:rPr/>
        <w:t xml:space="preserve">EPÚ poskytuje všem svým zaměstnancům vysoce kvalitní pracoviště, aby zajistil bezproblémovou produkci. Vysoké standardy kvality se promítají i do požadavku na dobré vnitřní klima, stálou dostupnost a kvalitu služeb obecně.</w:t>
      </w:r>
    </w:p>
    <w:p>
      <w:pPr>
        <w:pStyle w:val="BodyText"/>
        <w:spacing w:before="220"/>
        <w:ind w:start="140"/>
        <w:jc w:val="both"/>
      </w:pPr>
      <w:r>
        <w:rPr/>
        <w:t xml:space="preserve">Další </w:t>
      </w:r>
      <w:r>
        <w:rPr/>
        <w:t xml:space="preserve">informace </w:t>
      </w:r>
      <w:r>
        <w:rPr/>
        <w:t xml:space="preserve">naleznete </w:t>
      </w:r>
      <w:r>
        <w:rPr/>
        <w:t xml:space="preserve">na níže uvedeném </w:t>
      </w:r>
      <w:r>
        <w:rPr/>
        <w:t xml:space="preserve">odkazu: </w:t>
      </w:r>
      <w:hyperlink r:id="rId10">
        <w:r>
          <w:rPr>
            <w:color w:val="0000FF"/>
          </w:rPr>
          <w:t xml:space="preserve">EPO </w:t>
        </w:r>
        <w:r>
          <w:rPr>
            <w:color w:val="0000FF"/>
          </w:rPr>
          <w:t xml:space="preserve">- </w:t>
        </w:r>
        <w:r>
          <w:rPr>
            <w:color w:val="0000FF"/>
          </w:rPr>
          <w:t xml:space="preserve">EPO </w:t>
        </w:r>
        <w:r>
          <w:rPr>
            <w:color w:val="0000FF"/>
          </w:rPr>
          <w:t xml:space="preserve">v </w:t>
        </w:r>
        <w:r>
          <w:rPr>
            <w:color w:val="0000FF"/>
            <w:spacing w:val="-2"/>
          </w:rPr>
          <w:t xml:space="preserve">kostce</w:t>
        </w:r>
      </w:hyperlink>
    </w:p>
    <w:p>
      <w:pPr>
        <w:pStyle w:val="BodyText"/>
        <w:spacing w:before="17"/>
      </w:pPr>
    </w:p>
    <w:p>
      <w:pPr>
        <w:pStyle w:val="Heading2"/>
        <w:numPr>
          <w:ilvl w:val="1"/>
          <w:numId w:val="2"/>
        </w:numPr>
        <w:tabs>
          <w:tab w:val="left" w:leader="none" w:pos="819"/>
        </w:tabs>
        <w:spacing w:before="0" w:after="0" w:line="240" w:lineRule="auto"/>
        <w:ind w:start="819" w:end="0" w:hanging="679"/>
        <w:jc w:val="left"/>
      </w:pPr>
      <w:bookmarkStart w:name="1.2 Das Gebäude: PschorrHöfe BT5-6 Stand" w:id="5"/>
      <w:bookmarkEnd w:id="5"/>
      <w:r>
        <w:rPr>
          <w:b w:val="0"/>
        </w:rPr>
      </w:r>
      <w:bookmarkStart w:name="_bookmark2" w:id="6"/>
      <w:bookmarkEnd w:id="6"/>
      <w:r>
        <w:rPr>
          <w:b w:val="0"/>
        </w:rPr>
      </w:r>
      <w:r>
        <w:rPr/>
        <w:t xml:space="preserve">Budova: </w:t>
      </w:r>
      <w:r>
        <w:rPr/>
        <w:t xml:space="preserve">PschorrHöfe </w:t>
      </w:r>
      <w:r>
        <w:rPr/>
        <w:t xml:space="preserve">BT5-6 </w:t>
      </w:r>
      <w:r>
        <w:rPr>
          <w:spacing w:val="-2"/>
        </w:rPr>
        <w:t xml:space="preserve">Mnichov</w:t>
      </w:r>
    </w:p>
    <w:p>
      <w:pPr>
        <w:pStyle w:val="BodyText"/>
        <w:rPr>
          <w:b/>
          <w:sz w:val="24"/>
        </w:rPr>
      </w:pPr>
    </w:p>
    <w:p>
      <w:pPr>
        <w:pStyle w:val="BodyText"/>
        <w:spacing w:line="288" w:lineRule="auto"/>
        <w:ind w:start="140" w:end="142"/>
        <w:jc w:val="both"/>
      </w:pPr>
      <w:r>
        <w:rPr/>
        <w:t xml:space="preserve">Mnichovský </w:t>
      </w:r>
      <w:r>
        <w:rPr/>
        <w:t xml:space="preserve">areál </w:t>
      </w:r>
      <w:r>
        <w:rPr/>
        <w:t xml:space="preserve">je </w:t>
      </w:r>
      <w:r>
        <w:rPr>
          <w:spacing w:val="-5"/>
        </w:rPr>
        <w:t xml:space="preserve">rozdělen</w:t>
      </w:r>
      <w:r>
        <w:rPr/>
        <w:t xml:space="preserve"> </w:t>
      </w:r>
      <w:r>
        <w:rPr/>
        <w:t xml:space="preserve">na dva </w:t>
      </w:r>
      <w:r>
        <w:rPr/>
        <w:t xml:space="preserve">komplexy budov: </w:t>
      </w:r>
      <w:r>
        <w:rPr/>
        <w:t xml:space="preserve">Isargebäude </w:t>
      </w:r>
      <w:r>
        <w:rPr/>
        <w:t xml:space="preserve">(MI) </w:t>
      </w:r>
      <w:r>
        <w:rPr/>
        <w:t xml:space="preserve">a PschorrHöfe (PH). Níže jsou uvedeny některé klíčové údaje o budovách využívaných úřadem EPO v areálu PschorrHöfe (PH) 5-6 v Mnichově.</w:t>
      </w:r>
    </w:p>
    <w:p>
      <w:pPr>
        <w:pStyle w:val="BodyText"/>
        <w:spacing w:before="1"/>
        <w:rPr>
          <w:sz w:val="19"/>
        </w:rPr>
      </w:pPr>
    </w:p>
    <w:tbl>
      <w:tblPr>
        <w:tblW w:w="0" w:type="auto"/>
        <w:jc w:val="left"/>
        <w:tblInd w:w="357"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0" w:type="dxa"/>
          <w:bottom w:w="0" w:type="dxa"/>
          <w:right w:w="0" w:type="dxa"/>
        </w:tblCellMar>
        <w:tblLook w:val="01E0"/>
      </w:tblPr>
      <w:tblGrid>
        <w:gridCol w:w="1642"/>
        <w:gridCol w:w="7515"/>
      </w:tblGrid>
      <w:tr>
        <w:trPr>
          <w:trHeight w:val="441" w:hRule="atLeast"/>
        </w:trPr>
        <w:tc>
          <w:tcPr>
            <w:tcW w:w="1642" w:type="dxa"/>
          </w:tcPr>
          <w:p>
            <w:pPr>
              <w:pStyle w:val="TableParagraph"/>
              <w:ind w:start="114"/>
              <w:rPr>
                <w:sz w:val="22"/>
              </w:rPr>
            </w:pPr>
            <w:r>
              <w:rPr>
                <w:spacing w:val="-2"/>
                <w:sz w:val="22"/>
              </w:rPr>
              <w:t xml:space="preserve">Budova</w:t>
            </w:r>
          </w:p>
        </w:tc>
        <w:tc>
          <w:tcPr>
            <w:tcW w:w="7515" w:type="dxa"/>
          </w:tcPr>
          <w:p>
            <w:pPr>
              <w:pStyle w:val="TableParagraph"/>
              <w:ind w:start="116"/>
              <w:rPr>
                <w:sz w:val="22"/>
              </w:rPr>
            </w:pPr>
            <w:r>
              <w:rPr>
                <w:sz w:val="22"/>
              </w:rPr>
              <w:t xml:space="preserve">PH </w:t>
            </w:r>
            <w:r>
              <w:rPr>
                <w:spacing w:val="-10"/>
                <w:sz w:val="22"/>
              </w:rPr>
              <w:t xml:space="preserve">5-6</w:t>
            </w:r>
          </w:p>
        </w:tc>
      </w:tr>
      <w:tr>
        <w:trPr>
          <w:trHeight w:val="441" w:hRule="atLeast"/>
        </w:trPr>
        <w:tc>
          <w:tcPr>
            <w:tcW w:w="1642" w:type="dxa"/>
          </w:tcPr>
          <w:p>
            <w:pPr>
              <w:pStyle w:val="TableParagraph"/>
              <w:rPr>
                <w:sz w:val="22"/>
              </w:rPr>
            </w:pPr>
            <w:r>
              <w:rPr>
                <w:spacing w:val="-2"/>
                <w:sz w:val="22"/>
              </w:rPr>
              <w:t xml:space="preserve">Pracoviště</w:t>
            </w:r>
          </w:p>
        </w:tc>
        <w:tc>
          <w:tcPr>
            <w:tcW w:w="7515" w:type="dxa"/>
          </w:tcPr>
          <w:p>
            <w:pPr>
              <w:pStyle w:val="TableParagraph"/>
              <w:ind w:start="117"/>
              <w:rPr>
                <w:sz w:val="22"/>
              </w:rPr>
            </w:pPr>
            <w:r>
              <w:rPr>
                <w:spacing w:val="-5"/>
                <w:sz w:val="22"/>
              </w:rPr>
              <w:t xml:space="preserve">710</w:t>
            </w:r>
          </w:p>
        </w:tc>
      </w:tr>
      <w:tr>
        <w:trPr>
          <w:trHeight w:val="441" w:hRule="atLeast"/>
        </w:trPr>
        <w:tc>
          <w:tcPr>
            <w:tcW w:w="1642" w:type="dxa"/>
          </w:tcPr>
          <w:p>
            <w:pPr>
              <w:pStyle w:val="TableParagraph"/>
              <w:rPr>
                <w:sz w:val="22"/>
              </w:rPr>
            </w:pPr>
            <w:r>
              <w:rPr>
                <w:sz w:val="22"/>
              </w:rPr>
              <w:t xml:space="preserve">GFA </w:t>
            </w:r>
            <w:r>
              <w:rPr>
                <w:sz w:val="22"/>
              </w:rPr>
              <w:t xml:space="preserve">v </w:t>
            </w:r>
            <w:r>
              <w:rPr>
                <w:spacing w:val="-5"/>
                <w:sz w:val="22"/>
              </w:rPr>
              <w:t xml:space="preserve">m²</w:t>
            </w:r>
          </w:p>
        </w:tc>
        <w:tc>
          <w:tcPr>
            <w:tcW w:w="7515" w:type="dxa"/>
          </w:tcPr>
          <w:p>
            <w:pPr>
              <w:pStyle w:val="TableParagraph"/>
              <w:ind w:start="116"/>
              <w:rPr>
                <w:sz w:val="22"/>
              </w:rPr>
            </w:pPr>
            <w:r>
              <w:rPr>
                <w:spacing w:val="-2"/>
                <w:sz w:val="22"/>
              </w:rPr>
              <w:t xml:space="preserve">45.000</w:t>
            </w:r>
          </w:p>
        </w:tc>
      </w:tr>
      <w:tr>
        <w:trPr>
          <w:trHeight w:val="441" w:hRule="atLeast"/>
        </w:trPr>
        <w:tc>
          <w:tcPr>
            <w:tcW w:w="1642" w:type="dxa"/>
          </w:tcPr>
          <w:p>
            <w:pPr>
              <w:pStyle w:val="TableParagraph"/>
              <w:rPr>
                <w:sz w:val="22"/>
              </w:rPr>
            </w:pPr>
            <w:r>
              <w:rPr>
                <w:spacing w:val="-2"/>
                <w:sz w:val="22"/>
              </w:rPr>
              <w:t xml:space="preserve">Podlahy</w:t>
            </w:r>
          </w:p>
        </w:tc>
        <w:tc>
          <w:tcPr>
            <w:tcW w:w="7515" w:type="dxa"/>
          </w:tcPr>
          <w:p>
            <w:pPr>
              <w:pStyle w:val="TableParagraph"/>
              <w:ind w:start="117"/>
              <w:rPr>
                <w:sz w:val="22"/>
              </w:rPr>
            </w:pPr>
            <w:r>
              <w:rPr>
                <w:sz w:val="22"/>
              </w:rPr>
              <w:t xml:space="preserve">2 </w:t>
            </w:r>
            <w:r>
              <w:rPr>
                <w:sz w:val="22"/>
              </w:rPr>
              <w:t xml:space="preserve">suterény </w:t>
            </w:r>
            <w:r>
              <w:rPr>
                <w:sz w:val="22"/>
              </w:rPr>
              <w:t xml:space="preserve">+ přízemí </w:t>
            </w:r>
            <w:r>
              <w:rPr>
                <w:sz w:val="22"/>
              </w:rPr>
              <w:t xml:space="preserve">+ </w:t>
            </w:r>
            <w:r>
              <w:rPr>
                <w:sz w:val="22"/>
              </w:rPr>
              <w:t xml:space="preserve">6 </w:t>
            </w:r>
            <w:r>
              <w:rPr>
                <w:sz w:val="22"/>
              </w:rPr>
              <w:t xml:space="preserve">horních podlaží</w:t>
            </w:r>
            <w:r>
              <w:rPr>
                <w:sz w:val="22"/>
              </w:rPr>
              <w:t xml:space="preserve">, v </w:t>
            </w:r>
            <w:r>
              <w:rPr>
                <w:sz w:val="22"/>
              </w:rPr>
              <w:t xml:space="preserve">některých oblastech </w:t>
            </w:r>
            <w:r>
              <w:rPr>
                <w:sz w:val="22"/>
              </w:rPr>
              <w:t xml:space="preserve">8 </w:t>
            </w:r>
            <w:r>
              <w:rPr>
                <w:spacing w:val="-5"/>
                <w:sz w:val="22"/>
              </w:rPr>
              <w:t xml:space="preserve">horních podlaží</w:t>
            </w:r>
          </w:p>
        </w:tc>
      </w:tr>
      <w:tr>
        <w:trPr>
          <w:trHeight w:val="441" w:hRule="atLeast"/>
        </w:trPr>
        <w:tc>
          <w:tcPr>
            <w:tcW w:w="1642" w:type="dxa"/>
          </w:tcPr>
          <w:p>
            <w:pPr>
              <w:pStyle w:val="TableParagraph"/>
              <w:rPr>
                <w:sz w:val="22"/>
              </w:rPr>
            </w:pPr>
            <w:r>
              <w:rPr>
                <w:spacing w:val="-2"/>
                <w:sz w:val="22"/>
              </w:rPr>
              <w:t xml:space="preserve">Rok výstavby</w:t>
            </w:r>
          </w:p>
        </w:tc>
        <w:tc>
          <w:tcPr>
            <w:tcW w:w="7515" w:type="dxa"/>
          </w:tcPr>
          <w:p>
            <w:pPr>
              <w:pStyle w:val="TableParagraph"/>
              <w:ind w:start="116"/>
              <w:rPr>
                <w:sz w:val="22"/>
              </w:rPr>
            </w:pPr>
            <w:r>
              <w:rPr>
                <w:sz w:val="22"/>
              </w:rPr>
              <w:t xml:space="preserve">1993 </w:t>
            </w:r>
            <w:r>
              <w:rPr>
                <w:sz w:val="22"/>
              </w:rPr>
              <w:t xml:space="preserve">(PH </w:t>
            </w:r>
            <w:r>
              <w:rPr>
                <w:sz w:val="22"/>
              </w:rPr>
              <w:t xml:space="preserve">5) </w:t>
            </w:r>
            <w:r>
              <w:rPr>
                <w:sz w:val="22"/>
              </w:rPr>
              <w:t xml:space="preserve">a </w:t>
            </w:r>
            <w:r>
              <w:rPr>
                <w:sz w:val="22"/>
              </w:rPr>
              <w:t xml:space="preserve">1999 </w:t>
            </w:r>
            <w:r>
              <w:rPr>
                <w:sz w:val="22"/>
              </w:rPr>
              <w:t xml:space="preserve">(PH </w:t>
            </w:r>
            <w:r>
              <w:rPr>
                <w:spacing w:val="-5"/>
                <w:sz w:val="22"/>
              </w:rPr>
              <w:t xml:space="preserve">6)</w:t>
            </w:r>
          </w:p>
        </w:tc>
      </w:tr>
      <w:tr>
        <w:trPr>
          <w:trHeight w:val="441" w:hRule="atLeast"/>
        </w:trPr>
        <w:tc>
          <w:tcPr>
            <w:tcW w:w="1642" w:type="dxa"/>
          </w:tcPr>
          <w:p>
            <w:pPr>
              <w:pStyle w:val="TableParagraph"/>
              <w:rPr>
                <w:sz w:val="22"/>
              </w:rPr>
            </w:pPr>
            <w:r>
              <w:rPr>
                <w:spacing w:val="-2"/>
                <w:sz w:val="22"/>
              </w:rPr>
              <w:t xml:space="preserve">Renovace</w:t>
            </w:r>
          </w:p>
        </w:tc>
        <w:tc>
          <w:tcPr>
            <w:tcW w:w="7515" w:type="dxa"/>
          </w:tcPr>
          <w:p>
            <w:pPr>
              <w:pStyle w:val="TableParagraph"/>
              <w:ind w:start="116"/>
              <w:rPr>
                <w:sz w:val="22"/>
              </w:rPr>
            </w:pPr>
            <w:r>
              <w:rPr>
                <w:spacing w:val="-4"/>
                <w:sz w:val="22"/>
              </w:rPr>
              <w:t xml:space="preserve">Ne</w:t>
            </w:r>
          </w:p>
        </w:tc>
      </w:tr>
    </w:tbl>
    <w:p>
      <w:pPr>
        <w:pStyle w:val="TableParagraph"/>
        <w:spacing w:after="0"/>
        <w:rPr>
          <w:sz w:val="22"/>
        </w:rPr>
        <w:sectPr>
          <w:footerReference w:type="default" r:id="rId9"/>
          <w:pgSz w:w="11910" w:h="16840"/>
          <w:pgMar w:top="540" w:right="992" w:bottom="820" w:left="992" w:header="0" w:footer="635"/>
          <w:pgNumType w:start="1"/>
        </w:sectPr>
      </w:pPr>
    </w:p>
    <w:p>
      <w:pPr>
        <w:pStyle w:val="BodyText"/>
        <w:spacing w:before="2"/>
        <w:rPr>
          <w:sz w:val="12"/>
        </w:rPr>
      </w:pPr>
    </w:p>
    <w:tbl>
      <w:tblPr>
        <w:tblW w:w="0" w:type="auto"/>
        <w:jc w:val="left"/>
        <w:tblInd w:w="357"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0" w:type="dxa"/>
          <w:bottom w:w="0" w:type="dxa"/>
          <w:right w:w="0" w:type="dxa"/>
        </w:tblCellMar>
        <w:tblLook w:val="01E0"/>
      </w:tblPr>
      <w:tblGrid>
        <w:gridCol w:w="1642"/>
        <w:gridCol w:w="7515"/>
      </w:tblGrid>
      <w:tr>
        <w:trPr>
          <w:trHeight w:val="762" w:hRule="atLeast"/>
        </w:trPr>
        <w:tc>
          <w:tcPr>
            <w:tcW w:w="1642" w:type="dxa"/>
          </w:tcPr>
          <w:p>
            <w:pPr>
              <w:pStyle w:val="TableParagraph"/>
              <w:spacing w:before="59"/>
              <w:rPr>
                <w:sz w:val="22"/>
              </w:rPr>
            </w:pPr>
            <w:r>
              <w:rPr>
                <w:spacing w:val="-2"/>
                <w:sz w:val="22"/>
              </w:rPr>
              <w:t xml:space="preserve">Typy oblastí</w:t>
            </w:r>
          </w:p>
        </w:tc>
        <w:tc>
          <w:tcPr>
            <w:tcW w:w="7515" w:type="dxa"/>
          </w:tcPr>
          <w:p>
            <w:pPr>
              <w:pStyle w:val="TableParagraph"/>
              <w:spacing w:before="61" w:line="288" w:lineRule="auto"/>
              <w:ind w:start="116" w:end="541"/>
              <w:rPr>
                <w:sz w:val="22"/>
              </w:rPr>
            </w:pPr>
            <w:r>
              <w:rPr>
                <w:sz w:val="22"/>
              </w:rPr>
              <w:t xml:space="preserve">Kanceláře, </w:t>
            </w:r>
            <w:r>
              <w:rPr>
                <w:sz w:val="22"/>
              </w:rPr>
              <w:t xml:space="preserve">konferenční místnosti</w:t>
            </w:r>
            <w:r>
              <w:rPr>
                <w:sz w:val="22"/>
              </w:rPr>
              <w:t xml:space="preserve">, ostatní </w:t>
            </w:r>
            <w:r>
              <w:rPr>
                <w:sz w:val="22"/>
              </w:rPr>
              <w:t xml:space="preserve">prostory </w:t>
            </w:r>
            <w:r>
              <w:rPr>
                <w:sz w:val="22"/>
              </w:rPr>
              <w:t xml:space="preserve">(technologie, </w:t>
            </w:r>
            <w:r>
              <w:rPr>
                <w:sz w:val="22"/>
              </w:rPr>
              <w:t xml:space="preserve">skladovací </w:t>
            </w:r>
            <w:r>
              <w:rPr>
                <w:sz w:val="22"/>
              </w:rPr>
              <w:t xml:space="preserve">prostory</w:t>
            </w:r>
            <w:r>
              <w:rPr>
                <w:sz w:val="22"/>
              </w:rPr>
              <w:t xml:space="preserve">,</w:t>
            </w:r>
            <w:r>
              <w:rPr>
                <w:sz w:val="22"/>
              </w:rPr>
              <w:t xml:space="preserve"> sociální prostory </w:t>
            </w:r>
            <w:r>
              <w:rPr>
                <w:spacing w:val="-2"/>
                <w:sz w:val="22"/>
              </w:rPr>
              <w:t xml:space="preserve">atd.)</w:t>
            </w:r>
          </w:p>
        </w:tc>
      </w:tr>
      <w:tr>
        <w:trPr>
          <w:trHeight w:val="441" w:hRule="atLeast"/>
        </w:trPr>
        <w:tc>
          <w:tcPr>
            <w:tcW w:w="1642" w:type="dxa"/>
          </w:tcPr>
          <w:p>
            <w:pPr>
              <w:pStyle w:val="TableParagraph"/>
              <w:rPr>
                <w:sz w:val="22"/>
              </w:rPr>
            </w:pPr>
            <w:r>
              <w:rPr>
                <w:spacing w:val="-2"/>
                <w:sz w:val="22"/>
              </w:rPr>
              <w:t xml:space="preserve">Využití</w:t>
            </w:r>
          </w:p>
        </w:tc>
        <w:tc>
          <w:tcPr>
            <w:tcW w:w="7515" w:type="dxa"/>
          </w:tcPr>
          <w:p>
            <w:pPr>
              <w:pStyle w:val="TableParagraph"/>
              <w:ind w:start="117"/>
              <w:rPr>
                <w:sz w:val="22"/>
              </w:rPr>
            </w:pPr>
            <w:r>
              <w:rPr>
                <w:sz w:val="22"/>
              </w:rPr>
              <w:t xml:space="preserve">Administrativa </w:t>
            </w:r>
            <w:r>
              <w:rPr>
                <w:sz w:val="22"/>
              </w:rPr>
              <w:t xml:space="preserve">(zejména </w:t>
            </w:r>
            <w:r>
              <w:rPr>
                <w:spacing w:val="-2"/>
                <w:sz w:val="22"/>
              </w:rPr>
              <w:t xml:space="preserve">patentoví průzkumníci)</w:t>
            </w:r>
          </w:p>
        </w:tc>
      </w:tr>
    </w:tbl>
    <w:p>
      <w:pPr>
        <w:pStyle w:val="BodyText"/>
      </w:pPr>
    </w:p>
    <w:p>
      <w:pPr>
        <w:pStyle w:val="BodyText"/>
        <w:spacing w:before="17"/>
      </w:pPr>
    </w:p>
    <w:p>
      <w:pPr>
        <w:pStyle w:val="BodyText"/>
        <w:spacing w:before="1" w:line="288" w:lineRule="auto"/>
        <w:ind w:start="141" w:end="139" w:hanging="1"/>
        <w:jc w:val="both"/>
      </w:pPr>
      <w:r>
        <w:rPr/>
        <w:t xml:space="preserve">Úřad EPO má </w:t>
      </w:r>
      <w:r>
        <w:rPr/>
        <w:t xml:space="preserve">nemovitosti </w:t>
      </w:r>
      <w:r>
        <w:rPr/>
        <w:t xml:space="preserve">na dvou </w:t>
      </w:r>
      <w:r>
        <w:rPr/>
        <w:t xml:space="preserve">místech v</w:t>
      </w:r>
      <w:r>
        <w:rPr/>
        <w:t xml:space="preserve"> Mnichově</w:t>
      </w:r>
      <w:r>
        <w:rPr/>
        <w:t xml:space="preserve">. </w:t>
      </w:r>
      <w:r>
        <w:rPr/>
        <w:t xml:space="preserve">První </w:t>
      </w:r>
      <w:r>
        <w:rPr/>
        <w:t xml:space="preserve">budova, </w:t>
      </w:r>
      <w:r>
        <w:rPr/>
        <w:t xml:space="preserve">tzv. budova Isar, byla uvedena do provozu v roce 1980. S rychlým růstem úřadu bylo brzy zapotřebí více kancelářských prostor. Z tohoto důvodu byla koncem 80. let 20. století </w:t>
      </w:r>
      <w:r>
        <w:rPr/>
        <w:t xml:space="preserve">získána </w:t>
      </w:r>
      <w:r>
        <w:rPr/>
        <w:t xml:space="preserve">první etapa výstavby budovy PschorrHöfe na místě bývalého stejnojmenného </w:t>
      </w:r>
      <w:r>
        <w:rPr/>
        <w:t xml:space="preserve">pivovaru </w:t>
      </w:r>
      <w:r>
        <w:rPr/>
        <w:t xml:space="preserve">na Bayerstraße. </w:t>
      </w:r>
      <w:r>
        <w:rPr/>
        <w:t xml:space="preserve">Počátkem </w:t>
      </w:r>
      <w:r>
        <w:rPr/>
        <w:t xml:space="preserve">90. let </w:t>
      </w:r>
      <w:r>
        <w:rPr/>
        <w:t xml:space="preserve">byly dokončeny </w:t>
      </w:r>
      <w:r>
        <w:rPr/>
        <w:t xml:space="preserve">stavební </w:t>
      </w:r>
      <w:r>
        <w:rPr/>
        <w:t xml:space="preserve">bloky (BT) </w:t>
      </w:r>
      <w:r>
        <w:rPr/>
        <w:t xml:space="preserve">1-5</w:t>
      </w:r>
      <w:r>
        <w:rPr/>
        <w:t xml:space="preserve">. V roce 1990 byla zahájena výstavba nové budovy. </w:t>
      </w:r>
      <w:r>
        <w:rPr/>
        <w:t xml:space="preserve">Na konci </w:t>
      </w:r>
      <w:r>
        <w:rPr/>
        <w:t xml:space="preserve">90. let </w:t>
      </w:r>
      <w:r>
        <w:rPr/>
        <w:t xml:space="preserve">byla realizována 6. stavební část na místě staré varny pivovaru. V letech 2003-2008 byly postaveny poslední dvě budovy, 7 a 8.</w:t>
      </w:r>
    </w:p>
    <w:p>
      <w:pPr>
        <w:pStyle w:val="BodyText"/>
        <w:spacing w:before="220" w:line="288" w:lineRule="auto"/>
        <w:ind w:start="141" w:end="140"/>
        <w:jc w:val="both"/>
      </w:pPr>
      <w:r>
        <w:rPr/>
        <w:t xml:space="preserve">Návrh komponentů (BT) 1-6 je dílem kanceláře profesora Ackermanna v Mnichově. Autorská práva </w:t>
      </w:r>
      <w:r>
        <w:rPr/>
        <w:t xml:space="preserve">však </w:t>
      </w:r>
      <w:r>
        <w:rPr/>
        <w:t xml:space="preserve">nelze </w:t>
      </w:r>
      <w:r>
        <w:rPr/>
        <w:t xml:space="preserve">brát </w:t>
      </w:r>
      <w:r>
        <w:rPr/>
        <w:t xml:space="preserve">v úvahu. </w:t>
      </w:r>
      <w:r>
        <w:rPr/>
        <w:t xml:space="preserve">V té době již byly </w:t>
      </w:r>
      <w:r>
        <w:rPr/>
        <w:t xml:space="preserve">instalovány </w:t>
      </w:r>
      <w:r>
        <w:rPr/>
        <w:t xml:space="preserve">moderní </w:t>
      </w:r>
      <w:r>
        <w:rPr/>
        <w:t xml:space="preserve">chladicí stropy</w:t>
      </w:r>
      <w:r>
        <w:rPr/>
        <w:t xml:space="preserve">. </w:t>
      </w:r>
      <w:r>
        <w:rPr/>
        <w:t xml:space="preserve">Mechanické větrání bylo </w:t>
      </w:r>
      <w:r>
        <w:rPr/>
        <w:t xml:space="preserve">instalováno </w:t>
      </w:r>
      <w:r>
        <w:rPr/>
        <w:t xml:space="preserve">pouze v </w:t>
      </w:r>
      <w:r>
        <w:rPr/>
        <w:t xml:space="preserve">kancelářských prostorách </w:t>
      </w:r>
      <w:r>
        <w:rPr/>
        <w:t xml:space="preserve">obrácených k </w:t>
      </w:r>
      <w:r>
        <w:rPr/>
        <w:t xml:space="preserve">frekventovaným </w:t>
      </w:r>
      <w:r>
        <w:rPr/>
        <w:t xml:space="preserve">komunikacím </w:t>
      </w:r>
      <w:r>
        <w:rPr/>
        <w:t xml:space="preserve">a </w:t>
      </w:r>
      <w:r>
        <w:rPr/>
        <w:t xml:space="preserve">ve </w:t>
      </w:r>
      <w:r>
        <w:rPr/>
        <w:t xml:space="preserve">speciálních prostorách (např. konferenční prostor, jídelna).</w:t>
      </w:r>
    </w:p>
    <w:p>
      <w:pPr>
        <w:pStyle w:val="BodyText"/>
        <w:spacing w:before="1"/>
        <w:rPr>
          <w:sz w:val="17"/>
        </w:rPr>
      </w:pPr>
      <w:r>
        <w:rPr>
          <w:sz w:val="17"/>
        </w:rPr>
        <w:drawing>
          <wp:anchor distT="0" distB="0" distL="0" distR="0" simplePos="0" relativeHeight="487588352" behindDoc="1" locked="0" layoutInCell="1" allowOverlap="1">
            <wp:simplePos x="0" y="0"/>
            <wp:positionH relativeFrom="page">
              <wp:posOffset>720090</wp:posOffset>
            </wp:positionH>
            <wp:positionV relativeFrom="paragraph">
              <wp:posOffset>140224</wp:posOffset>
            </wp:positionV>
            <wp:extent cx="4301043" cy="2809684"/>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4301043" cy="2809684"/>
                    </a:xfrm>
                    <a:prstGeom prst="rect">
                      <a:avLst/>
                    </a:prstGeom>
                  </pic:spPr>
                </pic:pic>
              </a:graphicData>
            </a:graphic>
          </wp:anchor>
        </w:drawing>
      </w:r>
    </w:p>
    <w:p>
      <w:pPr>
        <w:pStyle w:val="BodyText"/>
        <w:spacing w:before="38"/>
      </w:pPr>
    </w:p>
    <w:p>
      <w:pPr>
        <w:pStyle w:val="BodyText"/>
        <w:spacing w:line="288" w:lineRule="auto"/>
        <w:ind w:start="141" w:end="135"/>
        <w:jc w:val="both"/>
      </w:pPr>
      <w:r>
        <w:rPr/>
        <w:t xml:space="preserve">Kancelářské prostory se vyznačují jednoduchými a několika dvojitými kancelářemi pro soustředěnou práci patentových průzkumníků, kteří tvoří většinu zaměstnanců PschorrHöfe. Kancelářské kóje jsou odděleny od chodeb, což znamená, že komunikace mezi zaměstnanci je možná pouze při otevřených dveřích. Ta proto probíhá především ve společenských prostorách (jídelna</w:t>
      </w:r>
      <w:r>
        <w:rPr/>
        <w:t xml:space="preserve">, kavárna atd.). To je </w:t>
      </w:r>
      <w:r>
        <w:rPr/>
        <w:t xml:space="preserve">nevýhodné zejména s ohledem na hybridní způsob práce, který se praktikuje od pandemie.</w:t>
      </w:r>
    </w:p>
    <w:p>
      <w:pPr>
        <w:pStyle w:val="BodyText"/>
        <w:spacing w:after="0" w:line="288" w:lineRule="auto"/>
        <w:jc w:val="both"/>
        <w:sectPr>
          <w:pgSz w:w="11910" w:h="16840"/>
          <w:pgMar w:top="1920" w:right="992" w:bottom="820" w:left="992" w:header="0" w:footer="635"/>
        </w:sectPr>
      </w:pPr>
    </w:p>
    <w:p>
      <w:pPr>
        <w:pStyle w:val="Heading2"/>
        <w:numPr>
          <w:ilvl w:val="1"/>
          <w:numId w:val="2"/>
        </w:numPr>
        <w:tabs>
          <w:tab w:val="left" w:leader="none" w:pos="819"/>
        </w:tabs>
        <w:spacing w:before="140" w:after="0" w:line="240" w:lineRule="auto"/>
        <w:ind w:start="819" w:end="0" w:hanging="679"/>
        <w:jc w:val="left"/>
      </w:pPr>
      <w:bookmarkStart w:name="1.3 Projektübersicht" w:id="7"/>
      <w:bookmarkEnd w:id="7"/>
      <w:r>
        <w:rPr>
          <w:b w:val="0"/>
        </w:rPr>
      </w:r>
      <w:bookmarkStart w:name="_bookmark3" w:id="8"/>
      <w:bookmarkEnd w:id="8"/>
      <w:r>
        <w:rPr>
          <w:b w:val="0"/>
        </w:rPr>
      </w:r>
      <w:r>
        <w:rPr>
          <w:spacing w:val="-2"/>
        </w:rPr>
        <w:t xml:space="preserve">Přehled projektu</w:t>
      </w:r>
    </w:p>
    <w:p>
      <w:pPr>
        <w:pStyle w:val="BodyText"/>
        <w:rPr>
          <w:b/>
          <w:sz w:val="24"/>
        </w:rPr>
      </w:pPr>
    </w:p>
    <w:p>
      <w:pPr>
        <w:pStyle w:val="BodyText"/>
        <w:spacing w:line="288" w:lineRule="auto"/>
        <w:ind w:start="140" w:end="140"/>
        <w:jc w:val="both"/>
      </w:pPr>
      <w:r>
        <w:rPr/>
        <w:t xml:space="preserve">V rámci rozsáhlého projektu rekonstrukce a modernizace jsou budovy PschorrHöfe (PH) 5-6 v Mnichově přizpůsobeny nejnovějším konstrukčním normám, aby splňovaly zvýšené požadavky na bezpečnost, funkčnost a udržitelnost. Plánovaná opatření zahrnují realizaci moderního pracovního prostředí, modernizaci požární ochrany, renovaci technického zázemí a hygienických prostor, instalaci garáže pro jízdní kola a výstavbu kavárny. Kromě toho bude upravena infrastruktura budov tak, aby PH5-6 mohly fungovat samostatně.</w:t>
      </w:r>
    </w:p>
    <w:p>
      <w:pPr>
        <w:pStyle w:val="BodyText"/>
        <w:spacing w:before="221" w:line="276" w:lineRule="auto"/>
        <w:ind w:start="140" w:end="137"/>
        <w:jc w:val="both"/>
      </w:pPr>
      <w:r>
        <w:rPr/>
        <w:t xml:space="preserve">Cílem </w:t>
      </w:r>
      <w:r>
        <w:rPr>
          <w:spacing w:val="-5"/>
        </w:rPr>
        <w:t xml:space="preserve">je </w:t>
      </w:r>
      <w:r>
        <w:rPr/>
        <w:t xml:space="preserve">zajistit </w:t>
      </w:r>
      <w:r>
        <w:rPr/>
        <w:t xml:space="preserve">dlouhodobou </w:t>
      </w:r>
      <w:r>
        <w:rPr/>
        <w:t xml:space="preserve">hodnotu </w:t>
      </w:r>
      <w:r>
        <w:rPr/>
        <w:t xml:space="preserve">objektu </w:t>
      </w:r>
      <w:r>
        <w:rPr/>
        <w:t xml:space="preserve">prostřednictvím </w:t>
      </w:r>
      <w:r>
        <w:rPr/>
        <w:t xml:space="preserve">udržitelné </w:t>
      </w:r>
      <w:r>
        <w:rPr/>
        <w:t xml:space="preserve">rekonstrukce</w:t>
      </w:r>
      <w:r>
        <w:rPr/>
        <w:t xml:space="preserve">, výrazně zlepšit </w:t>
      </w:r>
      <w:r>
        <w:rPr>
          <w:rFonts w:ascii="Calibri" w:hAnsi="Calibri"/>
        </w:rPr>
        <w:t xml:space="preserve">uhlíkovou </w:t>
      </w:r>
      <w:r>
        <w:rPr/>
        <w:t xml:space="preserve">stopu a získat certifikát udržitelnosti BREEAM.</w:t>
      </w:r>
    </w:p>
    <w:p>
      <w:pPr>
        <w:pStyle w:val="Heading2"/>
        <w:numPr>
          <w:ilvl w:val="1"/>
          <w:numId w:val="2"/>
        </w:numPr>
        <w:tabs>
          <w:tab w:val="left" w:leader="none" w:pos="819"/>
        </w:tabs>
        <w:spacing w:before="232" w:after="0" w:line="240" w:lineRule="auto"/>
        <w:ind w:start="819" w:end="0" w:hanging="679"/>
        <w:jc w:val="left"/>
      </w:pPr>
      <w:bookmarkStart w:name="1.4 Projektziele / Schwerpunkte der Baum" w:id="9"/>
      <w:bookmarkEnd w:id="9"/>
      <w:r>
        <w:rPr>
          <w:b w:val="0"/>
        </w:rPr>
      </w:r>
      <w:bookmarkStart w:name="_bookmark4" w:id="10"/>
      <w:bookmarkEnd w:id="10"/>
      <w:r>
        <w:rPr>
          <w:b w:val="0"/>
        </w:rPr>
      </w:r>
      <w:r>
        <w:rPr/>
        <w:t xml:space="preserve">Cíle projektu </w:t>
      </w:r>
      <w:r>
        <w:rPr/>
        <w:t xml:space="preserve">/ </w:t>
      </w:r>
      <w:r>
        <w:rPr/>
        <w:t xml:space="preserve">hlavní body </w:t>
      </w:r>
      <w:r>
        <w:rPr>
          <w:spacing w:val="-2"/>
        </w:rPr>
        <w:t xml:space="preserve">stavebního projektu</w:t>
      </w:r>
    </w:p>
    <w:p>
      <w:pPr>
        <w:pStyle w:val="BodyText"/>
        <w:spacing w:before="276" w:line="288" w:lineRule="auto"/>
        <w:ind w:start="140" w:end="142"/>
        <w:jc w:val="both"/>
      </w:pPr>
      <w:r>
        <w:rPr/>
        <w:t xml:space="preserve">Úřad EPO </w:t>
      </w:r>
      <w:r>
        <w:rPr/>
        <w:t xml:space="preserve">stanovil </w:t>
      </w:r>
      <w:r>
        <w:rPr/>
        <w:t xml:space="preserve">následující </w:t>
      </w:r>
      <w:r>
        <w:rPr/>
        <w:t xml:space="preserve">zastřešující </w:t>
      </w:r>
      <w:r>
        <w:rPr/>
        <w:t xml:space="preserve">cíle </w:t>
      </w:r>
      <w:r>
        <w:rPr/>
        <w:t xml:space="preserve">pro </w:t>
      </w:r>
      <w:r>
        <w:rPr/>
        <w:t xml:space="preserve">výstavbu </w:t>
      </w:r>
      <w:r>
        <w:rPr/>
        <w:t xml:space="preserve">a </w:t>
      </w:r>
      <w:r>
        <w:rPr/>
        <w:t xml:space="preserve">rekonstrukci </w:t>
      </w:r>
      <w:r>
        <w:rPr/>
        <w:t xml:space="preserve">svých budov a nových pracovních prostředí na všech pracovištích</w:t>
      </w:r>
      <w:r>
        <w:rPr/>
        <w:t xml:space="preserve">:</w:t>
      </w:r>
    </w:p>
    <w:p>
      <w:pPr>
        <w:pStyle w:val="ListParagraph"/>
        <w:numPr>
          <w:ilvl w:val="0"/>
          <w:numId w:val="3"/>
        </w:numPr>
        <w:tabs>
          <w:tab w:val="left" w:leader="none" w:pos="853"/>
        </w:tabs>
        <w:spacing w:before="234" w:after="0" w:line="280" w:lineRule="auto"/>
        <w:ind w:start="853" w:end="141" w:hanging="356"/>
        <w:jc w:val="both"/>
        <w:rPr>
          <w:sz w:val="22"/>
        </w:rPr>
      </w:pPr>
      <w:r>
        <w:rPr>
          <w:sz w:val="22"/>
        </w:rPr>
        <w:t xml:space="preserve">Provedení </w:t>
      </w:r>
      <w:r>
        <w:rPr>
          <w:sz w:val="22"/>
        </w:rPr>
        <w:t xml:space="preserve">koncepce požární ochrany </w:t>
      </w:r>
      <w:r>
        <w:rPr>
          <w:sz w:val="22"/>
        </w:rPr>
        <w:t xml:space="preserve">a </w:t>
      </w:r>
      <w:r>
        <w:rPr>
          <w:sz w:val="22"/>
        </w:rPr>
        <w:t xml:space="preserve">všech </w:t>
      </w:r>
      <w:r>
        <w:rPr>
          <w:sz w:val="22"/>
        </w:rPr>
        <w:t xml:space="preserve">požadavků </w:t>
      </w:r>
      <w:r>
        <w:rPr>
          <w:sz w:val="22"/>
        </w:rPr>
        <w:t xml:space="preserve">a </w:t>
      </w:r>
      <w:r>
        <w:rPr>
          <w:sz w:val="22"/>
        </w:rPr>
        <w:t xml:space="preserve">specifikací </w:t>
      </w:r>
      <w:r>
        <w:rPr>
          <w:sz w:val="22"/>
        </w:rPr>
        <w:t xml:space="preserve">(kontrolních) odborníků </w:t>
      </w:r>
      <w:r>
        <w:rPr>
          <w:sz w:val="22"/>
        </w:rPr>
        <w:t xml:space="preserve">a </w:t>
      </w:r>
      <w:r>
        <w:rPr>
          <w:sz w:val="22"/>
        </w:rPr>
        <w:t xml:space="preserve">schvalujících </w:t>
      </w:r>
      <w:r>
        <w:rPr>
          <w:sz w:val="22"/>
        </w:rPr>
        <w:t xml:space="preserve">orgánů</w:t>
      </w:r>
      <w:r>
        <w:rPr>
          <w:sz w:val="22"/>
        </w:rPr>
        <w:t xml:space="preserve">, které </w:t>
      </w:r>
      <w:r>
        <w:rPr>
          <w:sz w:val="22"/>
        </w:rPr>
        <w:t xml:space="preserve">jsou nezbytné pro </w:t>
      </w:r>
      <w:r>
        <w:rPr>
          <w:sz w:val="22"/>
        </w:rPr>
        <w:t xml:space="preserve">úspěšné </w:t>
      </w:r>
      <w:r>
        <w:rPr>
          <w:sz w:val="22"/>
        </w:rPr>
        <w:t xml:space="preserve">přijetí celkového opatření.</w:t>
      </w:r>
    </w:p>
    <w:p>
      <w:pPr>
        <w:pStyle w:val="ListParagraph"/>
        <w:numPr>
          <w:ilvl w:val="0"/>
          <w:numId w:val="3"/>
        </w:numPr>
        <w:tabs>
          <w:tab w:val="left" w:leader="none" w:pos="853"/>
        </w:tabs>
        <w:spacing w:before="138" w:after="0" w:line="240" w:lineRule="auto"/>
        <w:ind w:start="853" w:end="0" w:hanging="355"/>
        <w:jc w:val="both"/>
        <w:rPr>
          <w:sz w:val="22"/>
        </w:rPr>
      </w:pPr>
      <w:r>
        <w:rPr>
          <w:sz w:val="22"/>
        </w:rPr>
        <w:t xml:space="preserve">Dodržování </w:t>
      </w:r>
      <w:r>
        <w:rPr>
          <w:sz w:val="22"/>
        </w:rPr>
        <w:t xml:space="preserve">právních </w:t>
      </w:r>
      <w:r>
        <w:rPr>
          <w:sz w:val="22"/>
        </w:rPr>
        <w:t xml:space="preserve">předpisů </w:t>
      </w:r>
      <w:r>
        <w:rPr>
          <w:sz w:val="22"/>
        </w:rPr>
        <w:t xml:space="preserve">na </w:t>
      </w:r>
      <w:r>
        <w:rPr>
          <w:spacing w:val="-4"/>
          <w:sz w:val="22"/>
        </w:rPr>
        <w:t xml:space="preserve">staveništi</w:t>
      </w:r>
      <w:r>
        <w:rPr>
          <w:sz w:val="22"/>
        </w:rPr>
        <w:t xml:space="preserve">,</w:t>
      </w:r>
    </w:p>
    <w:p>
      <w:pPr>
        <w:pStyle w:val="ListParagraph"/>
        <w:numPr>
          <w:ilvl w:val="0"/>
          <w:numId w:val="3"/>
        </w:numPr>
        <w:tabs>
          <w:tab w:val="left" w:leader="none" w:pos="853"/>
        </w:tabs>
        <w:spacing w:before="171" w:after="0" w:line="240" w:lineRule="auto"/>
        <w:ind w:start="853" w:end="0" w:hanging="355"/>
        <w:jc w:val="both"/>
        <w:rPr>
          <w:sz w:val="22"/>
        </w:rPr>
      </w:pPr>
      <w:r>
        <w:rPr>
          <w:sz w:val="22"/>
        </w:rPr>
        <w:t xml:space="preserve">Transparentní </w:t>
      </w:r>
      <w:r>
        <w:rPr>
          <w:sz w:val="22"/>
        </w:rPr>
        <w:t xml:space="preserve">a </w:t>
      </w:r>
      <w:r>
        <w:rPr>
          <w:sz w:val="22"/>
        </w:rPr>
        <w:t xml:space="preserve">moderní </w:t>
      </w:r>
      <w:r>
        <w:rPr>
          <w:spacing w:val="-2"/>
          <w:sz w:val="22"/>
        </w:rPr>
        <w:t xml:space="preserve">pracovní prostředí,</w:t>
      </w:r>
    </w:p>
    <w:p>
      <w:pPr>
        <w:pStyle w:val="ListParagraph"/>
        <w:numPr>
          <w:ilvl w:val="0"/>
          <w:numId w:val="3"/>
        </w:numPr>
        <w:tabs>
          <w:tab w:val="left" w:leader="none" w:pos="854"/>
        </w:tabs>
        <w:spacing w:before="170" w:after="0" w:line="271" w:lineRule="auto"/>
        <w:ind w:start="854" w:end="140" w:hanging="356"/>
        <w:jc w:val="both"/>
        <w:rPr>
          <w:sz w:val="22"/>
        </w:rPr>
      </w:pPr>
      <w:r>
        <w:rPr>
          <w:sz w:val="22"/>
        </w:rPr>
        <w:t xml:space="preserve">Standardizované pracovní podmínky pro všechny </w:t>
      </w:r>
      <w:r>
        <w:rPr>
          <w:sz w:val="22"/>
        </w:rPr>
        <w:t xml:space="preserve">zaměstnance </w:t>
      </w:r>
      <w:r>
        <w:rPr>
          <w:sz w:val="22"/>
        </w:rPr>
        <w:t xml:space="preserve">na všech pracovištích</w:t>
      </w:r>
      <w:r>
        <w:rPr>
          <w:sz w:val="22"/>
        </w:rPr>
        <w:t xml:space="preserve">, zlepšení sociální a kulturní nabídky (wellbeing)</w:t>
      </w:r>
      <w:r>
        <w:rPr>
          <w:sz w:val="22"/>
        </w:rPr>
        <w:t xml:space="preserve">,</w:t>
      </w:r>
    </w:p>
    <w:p>
      <w:pPr>
        <w:pStyle w:val="ListParagraph"/>
        <w:numPr>
          <w:ilvl w:val="0"/>
          <w:numId w:val="3"/>
        </w:numPr>
        <w:tabs>
          <w:tab w:val="left" w:leader="none" w:pos="854"/>
        </w:tabs>
        <w:spacing w:before="152" w:after="0" w:line="271" w:lineRule="auto"/>
        <w:ind w:start="854" w:end="142" w:hanging="356"/>
        <w:jc w:val="both"/>
        <w:rPr>
          <w:sz w:val="22"/>
        </w:rPr>
      </w:pPr>
      <w:r>
        <w:rPr>
          <w:sz w:val="22"/>
        </w:rPr>
        <w:t xml:space="preserve">Snížení spotřeby energie, a tím i bilance CO2 (je třeba zohlednit použité materiály, logistiku a dopravu),</w:t>
      </w:r>
    </w:p>
    <w:p>
      <w:pPr>
        <w:pStyle w:val="ListParagraph"/>
        <w:numPr>
          <w:ilvl w:val="0"/>
          <w:numId w:val="3"/>
        </w:numPr>
        <w:tabs>
          <w:tab w:val="left" w:leader="none" w:pos="853"/>
        </w:tabs>
        <w:spacing w:before="153" w:after="0" w:line="240" w:lineRule="auto"/>
        <w:ind w:start="853" w:end="0" w:hanging="355"/>
        <w:jc w:val="both"/>
        <w:rPr>
          <w:sz w:val="22"/>
        </w:rPr>
      </w:pPr>
      <w:r>
        <w:rPr>
          <w:spacing w:val="-2"/>
          <w:sz w:val="22"/>
        </w:rPr>
        <w:t xml:space="preserve">Certifikace udržitelnosti </w:t>
      </w:r>
      <w:r>
        <w:rPr>
          <w:spacing w:val="-2"/>
          <w:sz w:val="22"/>
        </w:rPr>
        <w:t xml:space="preserve">(BREEAM-in-use</w:t>
      </w:r>
      <w:r>
        <w:rPr>
          <w:spacing w:val="-4"/>
          <w:sz w:val="22"/>
        </w:rPr>
        <w:t xml:space="preserve">)</w:t>
      </w:r>
      <w:r>
        <w:rPr>
          <w:spacing w:val="-2"/>
          <w:sz w:val="22"/>
        </w:rPr>
        <w:t xml:space="preserve">,</w:t>
      </w:r>
    </w:p>
    <w:p>
      <w:pPr>
        <w:pStyle w:val="ListParagraph"/>
        <w:numPr>
          <w:ilvl w:val="0"/>
          <w:numId w:val="3"/>
        </w:numPr>
        <w:tabs>
          <w:tab w:val="left" w:leader="none" w:pos="854"/>
        </w:tabs>
        <w:spacing w:before="170" w:after="0" w:line="271" w:lineRule="auto"/>
        <w:ind w:start="854" w:end="140" w:hanging="356"/>
        <w:jc w:val="both"/>
        <w:rPr>
          <w:sz w:val="22"/>
        </w:rPr>
      </w:pPr>
      <w:r>
        <w:rPr>
          <w:sz w:val="22"/>
        </w:rPr>
        <w:t xml:space="preserve">Zavedení udržitelného provozu budov v rámci regulovaného převzetí a uvedení budov do provozu.</w:t>
      </w:r>
    </w:p>
    <w:p>
      <w:pPr>
        <w:pStyle w:val="ListParagraph"/>
        <w:numPr>
          <w:ilvl w:val="0"/>
          <w:numId w:val="3"/>
        </w:numPr>
        <w:tabs>
          <w:tab w:val="left" w:leader="none" w:pos="854"/>
        </w:tabs>
        <w:spacing w:before="153" w:after="0" w:line="240" w:lineRule="auto"/>
        <w:ind w:start="854" w:end="0" w:hanging="355"/>
        <w:jc w:val="both"/>
        <w:rPr>
          <w:sz w:val="22"/>
        </w:rPr>
      </w:pPr>
      <w:r>
        <w:rPr>
          <w:sz w:val="22"/>
        </w:rPr>
        <w:t xml:space="preserve">Posouzení životního cyklu </w:t>
      </w:r>
      <w:r>
        <w:rPr>
          <w:sz w:val="22"/>
        </w:rPr>
        <w:t xml:space="preserve">a </w:t>
      </w:r>
      <w:r>
        <w:rPr>
          <w:spacing w:val="-2"/>
          <w:sz w:val="22"/>
        </w:rPr>
        <w:t xml:space="preserve">koncepce likvidace</w:t>
      </w:r>
    </w:p>
    <w:p>
      <w:pPr>
        <w:pStyle w:val="BodyText"/>
        <w:spacing w:before="2"/>
      </w:pPr>
    </w:p>
    <w:p>
      <w:pPr>
        <w:pStyle w:val="Heading3"/>
        <w:numPr>
          <w:ilvl w:val="2"/>
          <w:numId w:val="2"/>
        </w:numPr>
        <w:tabs>
          <w:tab w:val="left" w:leader="none" w:pos="936"/>
        </w:tabs>
        <w:spacing w:before="0" w:after="0" w:line="240" w:lineRule="auto"/>
        <w:ind w:start="936" w:end="0" w:hanging="795"/>
        <w:jc w:val="left"/>
      </w:pPr>
      <w:bookmarkStart w:name="1.4.1 Brandschutz" w:id="11"/>
      <w:bookmarkEnd w:id="11"/>
      <w:r>
        <w:rPr>
          <w:b w:val="0"/>
        </w:rPr>
      </w:r>
      <w:bookmarkStart w:name="_bookmark5" w:id="12"/>
      <w:bookmarkEnd w:id="12"/>
      <w:r>
        <w:rPr>
          <w:b w:val="0"/>
        </w:rPr>
      </w:r>
      <w:r>
        <w:rPr>
          <w:spacing w:val="-2"/>
        </w:rPr>
        <w:t xml:space="preserve">Požární ochrana</w:t>
      </w:r>
    </w:p>
    <w:p>
      <w:pPr>
        <w:pStyle w:val="BodyText"/>
        <w:spacing w:before="17"/>
        <w:rPr>
          <w:b/>
        </w:rPr>
      </w:pPr>
    </w:p>
    <w:p>
      <w:pPr>
        <w:pStyle w:val="BodyText"/>
        <w:spacing w:before="1" w:line="288" w:lineRule="auto"/>
        <w:ind w:start="141" w:end="138"/>
        <w:jc w:val="both"/>
      </w:pPr>
      <w:r>
        <w:rPr/>
        <w:t xml:space="preserve">Zavedení nové koncepce požární ochrany pro zajištění bezpečnosti provozu a dodržování právních předpisů. Práce zahrnují odstranění požárních úseků a instalaci odkouření v technických místnostech pro zajištění požadované požární odolnosti.</w:t>
      </w:r>
    </w:p>
    <w:p>
      <w:pPr>
        <w:pStyle w:val="Heading3"/>
        <w:numPr>
          <w:ilvl w:val="2"/>
          <w:numId w:val="2"/>
        </w:numPr>
        <w:tabs>
          <w:tab w:val="left" w:leader="none" w:pos="936"/>
        </w:tabs>
        <w:spacing w:before="220" w:after="0" w:line="240" w:lineRule="auto"/>
        <w:ind w:start="936" w:end="0" w:hanging="795"/>
        <w:jc w:val="left"/>
      </w:pPr>
      <w:bookmarkStart w:name="1.4.2 Transparente Arbeitswelten" w:id="13"/>
      <w:bookmarkEnd w:id="13"/>
      <w:r>
        <w:rPr>
          <w:b w:val="0"/>
        </w:rPr>
      </w:r>
      <w:bookmarkStart w:name="_bookmark6" w:id="14"/>
      <w:bookmarkEnd w:id="14"/>
      <w:r>
        <w:rPr>
          <w:b w:val="0"/>
        </w:rPr>
      </w:r>
      <w:r>
        <w:rPr/>
        <w:t xml:space="preserve">Transparentní </w:t>
      </w:r>
      <w:r>
        <w:rPr>
          <w:spacing w:val="-2"/>
        </w:rPr>
        <w:t xml:space="preserve">pracovní prostředí</w:t>
      </w:r>
    </w:p>
    <w:p>
      <w:pPr>
        <w:pStyle w:val="BodyText"/>
        <w:spacing w:before="18"/>
        <w:rPr>
          <w:b/>
        </w:rPr>
      </w:pPr>
    </w:p>
    <w:p>
      <w:pPr>
        <w:pStyle w:val="BodyText"/>
        <w:spacing w:line="288" w:lineRule="auto"/>
        <w:ind w:start="141" w:end="141"/>
        <w:jc w:val="both"/>
      </w:pPr>
      <w:r>
        <w:rPr/>
        <w:t xml:space="preserve">Vytvoření moderních, transparentních kancelářských prostor se společenskými prostory, které podporují spolupráci a hybridní práci.</w:t>
      </w:r>
    </w:p>
    <w:p>
      <w:pPr>
        <w:pStyle w:val="BodyText"/>
        <w:spacing w:after="0" w:line="288" w:lineRule="auto"/>
        <w:jc w:val="both"/>
        <w:sectPr>
          <w:pgSz w:w="11910" w:h="16840"/>
          <w:pgMar w:top="1920" w:right="992" w:bottom="820" w:left="992" w:header="0" w:footer="635"/>
        </w:sectPr>
      </w:pPr>
    </w:p>
    <w:p>
      <w:pPr>
        <w:pStyle w:val="Heading3"/>
        <w:numPr>
          <w:ilvl w:val="2"/>
          <w:numId w:val="2"/>
        </w:numPr>
        <w:tabs>
          <w:tab w:val="left" w:leader="none" w:pos="934"/>
        </w:tabs>
        <w:spacing w:before="140" w:after="0" w:line="240" w:lineRule="auto"/>
        <w:ind w:start="934" w:end="0" w:hanging="794"/>
        <w:jc w:val="left"/>
      </w:pPr>
      <w:bookmarkStart w:name="1.4.3 Sanierung technischer Anlagen" w:id="15"/>
      <w:bookmarkEnd w:id="15"/>
      <w:r>
        <w:rPr>
          <w:b w:val="0"/>
        </w:rPr>
      </w:r>
      <w:bookmarkStart w:name="_bookmark7" w:id="16"/>
      <w:bookmarkEnd w:id="16"/>
      <w:r>
        <w:rPr>
          <w:b w:val="0"/>
        </w:rPr>
      </w:r>
      <w:r>
        <w:rPr/>
        <w:t xml:space="preserve">Rekonstrukce </w:t>
      </w:r>
      <w:r>
        <w:rPr/>
        <w:t xml:space="preserve">technických </w:t>
      </w:r>
      <w:r>
        <w:rPr>
          <w:spacing w:val="-2"/>
        </w:rPr>
        <w:t xml:space="preserve">systémů</w:t>
      </w:r>
    </w:p>
    <w:p>
      <w:pPr>
        <w:pStyle w:val="BodyText"/>
        <w:spacing w:before="19"/>
        <w:rPr>
          <w:b/>
        </w:rPr>
      </w:pPr>
    </w:p>
    <w:p>
      <w:pPr>
        <w:pStyle w:val="BodyText"/>
        <w:spacing w:line="288" w:lineRule="auto"/>
        <w:ind w:start="141" w:end="139" w:hanging="1"/>
        <w:jc w:val="both"/>
      </w:pPr>
      <w:r>
        <w:rPr/>
        <w:t xml:space="preserve">Technická zařízení v PH5-6, včetně chlazení, větrání, sanitárních zařízení a řídicích jednotek v místnostech, jsou komplexně modernizována. Instalace budou vyměněny tak, aby byl zajištěn dlouhodobý provoz a udržitelná funkčnost. Modernizace rovněž zohledňuje výměnu komponentů, jejichž životnost skončila, a umožní uvést PH5-6 do souladu s nejnovějšími technickými normami.</w:t>
      </w:r>
    </w:p>
    <w:p>
      <w:pPr>
        <w:pStyle w:val="Heading3"/>
        <w:numPr>
          <w:ilvl w:val="2"/>
          <w:numId w:val="2"/>
        </w:numPr>
        <w:tabs>
          <w:tab w:val="left" w:leader="none" w:pos="935"/>
        </w:tabs>
        <w:spacing w:before="220" w:after="0" w:line="240" w:lineRule="auto"/>
        <w:ind w:start="935" w:end="0" w:hanging="794"/>
        <w:jc w:val="left"/>
      </w:pPr>
      <w:bookmarkStart w:name="1.4.4 Einrichtung einer Fahrradgarage" w:id="17"/>
      <w:bookmarkEnd w:id="17"/>
      <w:r>
        <w:rPr>
          <w:b w:val="0"/>
        </w:rPr>
      </w:r>
      <w:bookmarkStart w:name="_bookmark8" w:id="18"/>
      <w:bookmarkEnd w:id="18"/>
      <w:r>
        <w:rPr>
          <w:b w:val="0"/>
        </w:rPr>
      </w:r>
      <w:r>
        <w:rPr/>
        <w:t xml:space="preserve">Instalace </w:t>
      </w:r>
      <w:r>
        <w:rPr>
          <w:spacing w:val="-2"/>
        </w:rPr>
        <w:t xml:space="preserve">garáže pro jízdní kola</w:t>
      </w:r>
    </w:p>
    <w:p>
      <w:pPr>
        <w:pStyle w:val="BodyText"/>
        <w:spacing w:before="17"/>
        <w:rPr>
          <w:b/>
        </w:rPr>
      </w:pPr>
    </w:p>
    <w:p>
      <w:pPr>
        <w:pStyle w:val="BodyText"/>
        <w:spacing w:line="288" w:lineRule="auto"/>
        <w:ind w:start="140" w:end="137"/>
        <w:jc w:val="both"/>
      </w:pPr>
      <w:r>
        <w:rPr/>
        <w:t xml:space="preserve">Na </w:t>
      </w:r>
      <w:r>
        <w:rPr/>
        <w:t xml:space="preserve">podporu </w:t>
      </w:r>
      <w:r>
        <w:rPr/>
        <w:t xml:space="preserve">používání </w:t>
      </w:r>
      <w:r>
        <w:rPr/>
        <w:t xml:space="preserve">jízdních kol </w:t>
      </w:r>
      <w:r>
        <w:rPr/>
        <w:t xml:space="preserve">a </w:t>
      </w:r>
      <w:r>
        <w:rPr/>
        <w:t xml:space="preserve">zajištění </w:t>
      </w:r>
      <w:r>
        <w:rPr/>
        <w:t xml:space="preserve">bezpečnosti </w:t>
      </w:r>
      <w:r>
        <w:rPr/>
        <w:t xml:space="preserve">cyklistů </w:t>
      </w:r>
      <w:r>
        <w:rPr/>
        <w:t xml:space="preserve">bude na jihovýchodním konci budovy (bývalá Commerzbank) postavena dvoupatrová garáž pro jízdní kola. Tato zabezpečená parkovací plocha bude zahrnovat přibližně 230 parkovacích míst, z toho 10 s elektronickými dobíjecími stanicemi, a bude nabízet oddělený přístup od automobilové dopravy </w:t>
      </w:r>
      <w:r>
        <w:rPr>
          <w:spacing w:val="-1"/>
        </w:rPr>
        <w:t xml:space="preserve">v </w:t>
      </w:r>
      <w:r>
        <w:rPr/>
        <w:t xml:space="preserve">obou podlažích.</w:t>
      </w:r>
    </w:p>
    <w:p>
      <w:pPr>
        <w:pStyle w:val="Heading3"/>
        <w:numPr>
          <w:ilvl w:val="2"/>
          <w:numId w:val="2"/>
        </w:numPr>
        <w:tabs>
          <w:tab w:val="left" w:leader="none" w:pos="934"/>
        </w:tabs>
        <w:spacing w:before="221" w:after="0" w:line="240" w:lineRule="auto"/>
        <w:ind w:start="934" w:end="0" w:hanging="794"/>
        <w:jc w:val="left"/>
      </w:pPr>
      <w:bookmarkStart w:name="1.4.5 Errichtung einer Cafeteria" w:id="19"/>
      <w:bookmarkEnd w:id="19"/>
      <w:r>
        <w:rPr>
          <w:b w:val="0"/>
        </w:rPr>
      </w:r>
      <w:bookmarkStart w:name="_bookmark9" w:id="20"/>
      <w:bookmarkEnd w:id="20"/>
      <w:r>
        <w:rPr>
          <w:b w:val="0"/>
        </w:rPr>
      </w:r>
      <w:r>
        <w:rPr/>
        <w:t xml:space="preserve">Výstavba </w:t>
      </w:r>
      <w:r>
        <w:rPr>
          <w:spacing w:val="-2"/>
        </w:rPr>
        <w:t xml:space="preserve">jídelny</w:t>
      </w:r>
    </w:p>
    <w:p>
      <w:pPr>
        <w:pStyle w:val="BodyText"/>
        <w:spacing w:before="18"/>
        <w:rPr>
          <w:b/>
        </w:rPr>
      </w:pPr>
    </w:p>
    <w:p>
      <w:pPr>
        <w:pStyle w:val="BodyText"/>
        <w:spacing w:line="288" w:lineRule="auto"/>
        <w:ind w:start="140" w:end="141"/>
        <w:jc w:val="both"/>
      </w:pPr>
      <w:r>
        <w:rPr/>
        <w:t xml:space="preserve">V přízemí </w:t>
      </w:r>
      <w:r>
        <w:rPr/>
        <w:t xml:space="preserve">budovy </w:t>
      </w:r>
      <w:r>
        <w:rPr/>
        <w:t xml:space="preserve">PH6 </w:t>
      </w:r>
      <w:r>
        <w:rPr/>
        <w:t xml:space="preserve">vzniká </w:t>
      </w:r>
      <w:r>
        <w:rPr/>
        <w:t xml:space="preserve">nová </w:t>
      </w:r>
      <w:r>
        <w:rPr/>
        <w:t xml:space="preserve">kavárna</w:t>
      </w:r>
      <w:r>
        <w:rPr/>
        <w:t xml:space="preserve">, která se nachází </w:t>
      </w:r>
      <w:r>
        <w:rPr/>
        <w:t xml:space="preserve">přímo </w:t>
      </w:r>
      <w:r>
        <w:rPr/>
        <w:t xml:space="preserve">u </w:t>
      </w:r>
      <w:r>
        <w:rPr/>
        <w:t xml:space="preserve">vchodu </w:t>
      </w:r>
      <w:r>
        <w:rPr/>
        <w:t xml:space="preserve">z </w:t>
      </w:r>
      <w:r>
        <w:rPr/>
        <w:t xml:space="preserve">ulice Grasserstrasse a bude k dispozici zaměstnancům i hostům. Výstavbou této kavárny vzniknou atraktivní, společenské rekreační prostory, které podporují dialog.</w:t>
      </w:r>
    </w:p>
    <w:p>
      <w:pPr>
        <w:pStyle w:val="Heading3"/>
        <w:numPr>
          <w:ilvl w:val="2"/>
          <w:numId w:val="2"/>
        </w:numPr>
        <w:tabs>
          <w:tab w:val="left" w:leader="none" w:pos="934"/>
        </w:tabs>
        <w:spacing w:before="219" w:after="0" w:line="240" w:lineRule="auto"/>
        <w:ind w:start="934" w:end="0" w:hanging="794"/>
        <w:jc w:val="left"/>
      </w:pPr>
      <w:bookmarkStart w:name="1.4.6 Unabhängiger Betrieb der Gebäudete" w:id="21"/>
      <w:bookmarkEnd w:id="21"/>
      <w:r>
        <w:rPr>
          <w:b w:val="0"/>
        </w:rPr>
      </w:r>
      <w:bookmarkStart w:name="_bookmark10" w:id="22"/>
      <w:bookmarkEnd w:id="22"/>
      <w:r>
        <w:rPr>
          <w:b w:val="0"/>
        </w:rPr>
      </w:r>
      <w:r>
        <w:rPr/>
        <w:t xml:space="preserve">Nezávislý </w:t>
      </w:r>
      <w:r>
        <w:rPr/>
        <w:t xml:space="preserve">provoz </w:t>
      </w:r>
      <w:r>
        <w:rPr/>
        <w:t xml:space="preserve">stavebních sekcí </w:t>
      </w:r>
      <w:r>
        <w:rPr>
          <w:spacing w:val="-10"/>
        </w:rPr>
        <w:t xml:space="preserve">PH5-6</w:t>
      </w:r>
    </w:p>
    <w:p>
      <w:pPr>
        <w:pStyle w:val="BodyText"/>
        <w:spacing w:before="18"/>
        <w:rPr>
          <w:b/>
        </w:rPr>
      </w:pPr>
    </w:p>
    <w:p>
      <w:pPr>
        <w:pStyle w:val="BodyText"/>
        <w:spacing w:line="288" w:lineRule="auto"/>
        <w:ind w:start="140" w:end="138"/>
        <w:jc w:val="both"/>
      </w:pPr>
      <w:r>
        <w:rPr/>
        <w:t xml:space="preserve">Aby bylo možné provozovat PH5-6 nezávisle na ostatních částech budovy PH1-4, zavádí se nezávislý systém řízení budovy. To zahrnuje instalaci nového přívodu středního napětí, úpravu hlavního rozvaděče nízkého napětí a rozšíření výroby chladu v PH6 tak, aby pokrýval i požadavky PH5. Tato opatření umožňují nezávislý provoz PH5-6 a zvyšují tak provozní flexibilitu a možnosti využití částí budovy PH1-4.</w:t>
      </w:r>
    </w:p>
    <w:p>
      <w:pPr>
        <w:pStyle w:val="Heading3"/>
        <w:numPr>
          <w:ilvl w:val="2"/>
          <w:numId w:val="2"/>
        </w:numPr>
        <w:tabs>
          <w:tab w:val="left" w:leader="none" w:pos="934"/>
        </w:tabs>
        <w:spacing w:before="221" w:after="0" w:line="240" w:lineRule="auto"/>
        <w:ind w:start="934" w:end="0" w:hanging="794"/>
        <w:jc w:val="left"/>
      </w:pPr>
      <w:bookmarkStart w:name="1.4.7 Umweltmaßnahmen" w:id="23"/>
      <w:bookmarkEnd w:id="23"/>
      <w:r>
        <w:rPr>
          <w:b w:val="0"/>
        </w:rPr>
      </w:r>
      <w:bookmarkStart w:name="_bookmark11" w:id="24"/>
      <w:bookmarkEnd w:id="24"/>
      <w:r>
        <w:rPr>
          <w:b w:val="0"/>
        </w:rPr>
      </w:r>
      <w:r>
        <w:rPr>
          <w:spacing w:val="-2"/>
        </w:rPr>
        <w:t xml:space="preserve">Environmentální opatření</w:t>
      </w:r>
    </w:p>
    <w:p>
      <w:pPr>
        <w:pStyle w:val="BodyText"/>
        <w:spacing w:before="17"/>
        <w:rPr>
          <w:b/>
        </w:rPr>
      </w:pPr>
    </w:p>
    <w:p>
      <w:pPr>
        <w:pStyle w:val="BodyText"/>
        <w:spacing w:line="288" w:lineRule="auto"/>
        <w:ind w:start="140" w:end="136"/>
        <w:jc w:val="both"/>
      </w:pPr>
      <w:r>
        <w:rPr/>
        <w:t xml:space="preserve">Evropský patentový úřad již v minulých letech provedl strukturální a organizační změny ve svých stávajících budovách s cílem zlepšit energetickou bilanci. Cílem EPO je dosáhnout úplné uhlíkové neutrality na všech pracovištích do konce roku 2030. EPO je již několik let držitelem certifikátu EMAS a plánuje také certifikaci udržitelnosti podle BREEAM pro všechny stávající budovy. Cílová certifikace BREEAM je podpořena strukturálními a provozními opatřeními, jako je podpora e-mobility prostřednictvím </w:t>
      </w:r>
      <w:r>
        <w:rPr/>
        <w:t xml:space="preserve">dobíjecích stanic, </w:t>
      </w:r>
      <w:r>
        <w:rPr/>
        <w:t xml:space="preserve">integrace </w:t>
      </w:r>
      <w:r>
        <w:rPr/>
        <w:t xml:space="preserve">garáže pro jízdní kola </w:t>
      </w:r>
      <w:r>
        <w:rPr/>
        <w:t xml:space="preserve">a </w:t>
      </w:r>
      <w:r>
        <w:rPr/>
        <w:t xml:space="preserve">energetická </w:t>
      </w:r>
      <w:r>
        <w:rPr/>
        <w:t xml:space="preserve">optimalizace provozu budov. Kromě modernizace technických systémů bude v části budovy 5 vyměněno okenní zasklení, aby se snížila spotřeba energie a zlepšila tepelná izolace.</w:t>
      </w:r>
    </w:p>
    <w:p>
      <w:pPr>
        <w:pStyle w:val="BodyText"/>
        <w:spacing w:after="0" w:line="288" w:lineRule="auto"/>
        <w:jc w:val="both"/>
        <w:sectPr>
          <w:pgSz w:w="11910" w:h="16840"/>
          <w:pgMar w:top="1920" w:right="992" w:bottom="820" w:left="992" w:header="0" w:footer="635"/>
        </w:sectPr>
      </w:pPr>
    </w:p>
    <w:p>
      <w:pPr>
        <w:pStyle w:val="Heading2"/>
        <w:numPr>
          <w:ilvl w:val="1"/>
          <w:numId w:val="2"/>
        </w:numPr>
        <w:tabs>
          <w:tab w:val="left" w:leader="none" w:pos="819"/>
        </w:tabs>
        <w:spacing w:before="140" w:after="0" w:line="240" w:lineRule="auto"/>
        <w:ind w:start="819" w:end="0" w:hanging="679"/>
        <w:jc w:val="left"/>
      </w:pPr>
      <w:bookmarkStart w:name="1.5 Projektorganisation" w:id="25"/>
      <w:bookmarkEnd w:id="25"/>
      <w:r>
        <w:rPr>
          <w:b w:val="0"/>
        </w:rPr>
      </w:r>
      <w:bookmarkStart w:name="_bookmark12" w:id="26"/>
      <w:bookmarkEnd w:id="26"/>
      <w:r>
        <w:rPr>
          <w:b w:val="0"/>
        </w:rPr>
      </w:r>
      <w:r>
        <w:rPr>
          <w:spacing w:val="-2"/>
        </w:rPr>
        <w:t xml:space="preserve">Organizace projektu</w:t>
      </w:r>
    </w:p>
    <w:p>
      <w:pPr>
        <w:pStyle w:val="BodyText"/>
        <w:rPr>
          <w:b/>
          <w:sz w:val="24"/>
        </w:rPr>
      </w:pPr>
    </w:p>
    <w:p>
      <w:pPr>
        <w:pStyle w:val="Heading3"/>
        <w:numPr>
          <w:ilvl w:val="2"/>
          <w:numId w:val="2"/>
        </w:numPr>
        <w:tabs>
          <w:tab w:val="left" w:leader="none" w:pos="934"/>
        </w:tabs>
        <w:spacing w:before="0" w:after="0" w:line="240" w:lineRule="auto"/>
        <w:ind w:start="934" w:end="0" w:hanging="794"/>
        <w:jc w:val="left"/>
      </w:pPr>
      <w:bookmarkStart w:name="1.5.1 Ausführung Bauleistungen" w:id="27"/>
      <w:bookmarkEnd w:id="27"/>
      <w:r>
        <w:rPr>
          <w:b w:val="0"/>
        </w:rPr>
      </w:r>
      <w:bookmarkStart w:name="_bookmark13" w:id="28"/>
      <w:bookmarkEnd w:id="28"/>
      <w:r>
        <w:rPr>
          <w:b w:val="0"/>
        </w:rPr>
      </w:r>
      <w:r>
        <w:rPr/>
        <w:t xml:space="preserve">Provádění </w:t>
      </w:r>
      <w:r>
        <w:rPr>
          <w:spacing w:val="-2"/>
        </w:rPr>
        <w:t xml:space="preserve">stavebních prací</w:t>
      </w:r>
    </w:p>
    <w:p>
      <w:pPr>
        <w:pStyle w:val="BodyText"/>
        <w:spacing w:before="17"/>
        <w:rPr>
          <w:b/>
        </w:rPr>
      </w:pPr>
    </w:p>
    <w:p>
      <w:pPr>
        <w:pStyle w:val="BodyText"/>
        <w:ind w:start="140"/>
        <w:jc w:val="both"/>
      </w:pPr>
      <w:r>
        <w:rPr/>
        <w:t xml:space="preserve">Cílem je realizovat </w:t>
      </w:r>
      <w:r>
        <w:rPr/>
        <w:t xml:space="preserve">stavební projekt </w:t>
      </w:r>
      <w:r>
        <w:rPr/>
        <w:t xml:space="preserve">se třemi </w:t>
      </w:r>
      <w:r>
        <w:rPr>
          <w:spacing w:val="-2"/>
        </w:rPr>
        <w:t xml:space="preserve">dodavateli</w:t>
      </w:r>
      <w:r>
        <w:rPr/>
        <w:t xml:space="preserve">.</w:t>
      </w:r>
    </w:p>
    <w:p>
      <w:pPr>
        <w:pStyle w:val="BodyText"/>
        <w:spacing w:before="31"/>
      </w:pPr>
    </w:p>
    <w:p>
      <w:pPr>
        <w:pStyle w:val="ListParagraph"/>
        <w:numPr>
          <w:ilvl w:val="3"/>
          <w:numId w:val="2"/>
        </w:numPr>
        <w:tabs>
          <w:tab w:val="left" w:leader="none" w:pos="853"/>
        </w:tabs>
        <w:spacing w:before="0" w:after="0" w:line="273" w:lineRule="auto"/>
        <w:ind w:start="853" w:end="142" w:hanging="356"/>
        <w:jc w:val="left"/>
        <w:rPr>
          <w:sz w:val="22"/>
        </w:rPr>
      </w:pPr>
      <w:r>
        <w:rPr>
          <w:sz w:val="22"/>
        </w:rPr>
        <w:t xml:space="preserve">Vybavení interiérů </w:t>
      </w:r>
      <w:r>
        <w:rPr>
          <w:sz w:val="22"/>
        </w:rPr>
        <w:t xml:space="preserve">a </w:t>
      </w:r>
      <w:r>
        <w:rPr>
          <w:sz w:val="22"/>
        </w:rPr>
        <w:t xml:space="preserve">opláštění budov, </w:t>
      </w:r>
      <w:r>
        <w:rPr>
          <w:sz w:val="22"/>
        </w:rPr>
        <w:t xml:space="preserve">včetně </w:t>
      </w:r>
      <w:r>
        <w:rPr>
          <w:sz w:val="22"/>
        </w:rPr>
        <w:t xml:space="preserve">demolice </w:t>
      </w:r>
      <w:r>
        <w:rPr>
          <w:sz w:val="22"/>
        </w:rPr>
        <w:t xml:space="preserve">a </w:t>
      </w:r>
      <w:r>
        <w:rPr>
          <w:sz w:val="22"/>
        </w:rPr>
        <w:t xml:space="preserve">likvidace</w:t>
      </w:r>
      <w:r>
        <w:rPr>
          <w:sz w:val="22"/>
        </w:rPr>
        <w:t xml:space="preserve">, logistiky staveniště </w:t>
      </w:r>
      <w:r>
        <w:rPr>
          <w:sz w:val="22"/>
        </w:rPr>
        <w:t xml:space="preserve">a </w:t>
      </w:r>
      <w:r>
        <w:rPr>
          <w:spacing w:val="-2"/>
          <w:sz w:val="22"/>
        </w:rPr>
        <w:t xml:space="preserve">recyklačního centra</w:t>
      </w:r>
    </w:p>
    <w:p>
      <w:pPr>
        <w:pStyle w:val="ListParagraph"/>
        <w:numPr>
          <w:ilvl w:val="3"/>
          <w:numId w:val="2"/>
        </w:numPr>
        <w:tabs>
          <w:tab w:val="left" w:leader="none" w:pos="853"/>
        </w:tabs>
        <w:spacing w:before="150" w:after="0" w:line="240" w:lineRule="auto"/>
        <w:ind w:start="853" w:end="0" w:hanging="355"/>
        <w:jc w:val="left"/>
        <w:rPr>
          <w:sz w:val="22"/>
        </w:rPr>
      </w:pPr>
      <w:r>
        <w:rPr>
          <w:sz w:val="22"/>
        </w:rPr>
        <w:t xml:space="preserve">HVAC </w:t>
      </w:r>
      <w:r>
        <w:rPr>
          <w:sz w:val="22"/>
        </w:rPr>
        <w:t xml:space="preserve">/ </w:t>
      </w:r>
      <w:r>
        <w:rPr>
          <w:sz w:val="22"/>
        </w:rPr>
        <w:t xml:space="preserve">poměrná část </w:t>
      </w:r>
      <w:r>
        <w:rPr>
          <w:sz w:val="22"/>
        </w:rPr>
        <w:t xml:space="preserve">GLT </w:t>
      </w:r>
      <w:r>
        <w:rPr>
          <w:sz w:val="22"/>
        </w:rPr>
        <w:t xml:space="preserve">včetně </w:t>
      </w:r>
      <w:r>
        <w:rPr>
          <w:sz w:val="22"/>
        </w:rPr>
        <w:t xml:space="preserve">demolice </w:t>
      </w:r>
      <w:r>
        <w:rPr>
          <w:sz w:val="22"/>
        </w:rPr>
        <w:t xml:space="preserve">a </w:t>
      </w:r>
      <w:r>
        <w:rPr>
          <w:spacing w:val="-2"/>
          <w:sz w:val="22"/>
        </w:rPr>
        <w:t xml:space="preserve">likvidace</w:t>
      </w:r>
    </w:p>
    <w:p>
      <w:pPr>
        <w:pStyle w:val="ListParagraph"/>
        <w:numPr>
          <w:ilvl w:val="3"/>
          <w:numId w:val="2"/>
        </w:numPr>
        <w:tabs>
          <w:tab w:val="left" w:leader="none" w:pos="853"/>
        </w:tabs>
        <w:spacing w:before="168" w:after="0" w:line="240" w:lineRule="auto"/>
        <w:ind w:start="853" w:end="0" w:hanging="355"/>
        <w:jc w:val="left"/>
        <w:rPr>
          <w:sz w:val="22"/>
        </w:rPr>
      </w:pPr>
      <w:r>
        <w:rPr>
          <w:sz w:val="22"/>
        </w:rPr>
        <w:t xml:space="preserve">ELT/ </w:t>
      </w:r>
      <w:r>
        <w:rPr>
          <w:sz w:val="22"/>
        </w:rPr>
        <w:t xml:space="preserve">poměrná část </w:t>
      </w:r>
      <w:r>
        <w:rPr>
          <w:sz w:val="22"/>
        </w:rPr>
        <w:t xml:space="preserve">GLT </w:t>
      </w:r>
      <w:r>
        <w:rPr>
          <w:sz w:val="22"/>
        </w:rPr>
        <w:t xml:space="preserve">včetně </w:t>
      </w:r>
      <w:r>
        <w:rPr>
          <w:sz w:val="22"/>
        </w:rPr>
        <w:t xml:space="preserve">demolice </w:t>
      </w:r>
      <w:r>
        <w:rPr>
          <w:sz w:val="22"/>
        </w:rPr>
        <w:t xml:space="preserve">a </w:t>
      </w:r>
      <w:r>
        <w:rPr>
          <w:spacing w:val="-2"/>
          <w:sz w:val="22"/>
        </w:rPr>
        <w:t xml:space="preserve">likvidace</w:t>
      </w:r>
    </w:p>
    <w:p>
      <w:pPr>
        <w:pStyle w:val="BodyText"/>
        <w:spacing w:before="157" w:line="288" w:lineRule="auto"/>
        <w:ind w:start="141" w:end="140"/>
        <w:jc w:val="both"/>
      </w:pPr>
      <w:r>
        <w:rPr/>
        <w:t xml:space="preserve">případně </w:t>
      </w:r>
      <w:r>
        <w:rPr/>
        <w:t xml:space="preserve">generální dodavatel nebo společný podnik </w:t>
      </w:r>
      <w:r>
        <w:rPr/>
        <w:t xml:space="preserve">(pokud </w:t>
      </w:r>
      <w:r>
        <w:rPr/>
        <w:t xml:space="preserve">se </w:t>
      </w:r>
      <w:r>
        <w:rPr/>
        <w:t xml:space="preserve">uchazeči </w:t>
      </w:r>
      <w:r>
        <w:rPr/>
        <w:t xml:space="preserve">hlásí do všech tří oborů).</w:t>
      </w:r>
    </w:p>
    <w:p>
      <w:pPr>
        <w:pStyle w:val="BodyText"/>
        <w:spacing w:before="221" w:line="288" w:lineRule="auto"/>
        <w:ind w:start="140" w:end="137"/>
        <w:jc w:val="both"/>
      </w:pPr>
      <w:r>
        <w:rPr/>
        <w:t xml:space="preserve">Celý projekt </w:t>
      </w:r>
      <w:r>
        <w:rPr/>
        <w:t xml:space="preserve">je </w:t>
      </w:r>
      <w:r>
        <w:rPr/>
        <w:t xml:space="preserve">od </w:t>
      </w:r>
      <w:r>
        <w:rPr/>
        <w:t xml:space="preserve">plánování </w:t>
      </w:r>
      <w:r>
        <w:rPr/>
        <w:t xml:space="preserve">až po dokončení realizován </w:t>
      </w:r>
      <w:r>
        <w:rPr/>
        <w:t xml:space="preserve">v souladu s principy </w:t>
      </w:r>
      <w:r>
        <w:rPr/>
        <w:t xml:space="preserve">štíhlého </w:t>
      </w:r>
      <w:r>
        <w:rPr/>
        <w:t xml:space="preserve">(stavebního) </w:t>
      </w:r>
      <w:r>
        <w:rPr/>
        <w:t xml:space="preserve">řízení</w:t>
      </w:r>
      <w:r>
        <w:rPr/>
        <w:t xml:space="preserve">. </w:t>
      </w:r>
      <w:r>
        <w:rPr/>
        <w:t xml:space="preserve">EPO očekává, že výsledkem bude efektivní řízení projektu a optimální </w:t>
      </w:r>
      <w:r>
        <w:rPr/>
        <w:t xml:space="preserve">koordinace </w:t>
      </w:r>
      <w:r>
        <w:rPr/>
        <w:t xml:space="preserve">všech </w:t>
      </w:r>
      <w:r>
        <w:rPr/>
        <w:t xml:space="preserve">projektantů</w:t>
      </w:r>
      <w:r>
        <w:rPr/>
        <w:t xml:space="preserve">, odborníků </w:t>
      </w:r>
      <w:r>
        <w:rPr/>
        <w:t xml:space="preserve">a </w:t>
      </w:r>
      <w:r>
        <w:rPr/>
        <w:t xml:space="preserve">dodavatelů </w:t>
      </w:r>
      <w:r>
        <w:rPr/>
        <w:t xml:space="preserve">zapojených do </w:t>
      </w:r>
      <w:r>
        <w:rPr/>
        <w:t xml:space="preserve">projektu</w:t>
      </w:r>
      <w:r>
        <w:rPr/>
        <w:t xml:space="preserve">. Předpokladem je prvotní kontakt s agilními metodami.</w:t>
      </w:r>
    </w:p>
    <w:p>
      <w:pPr>
        <w:pStyle w:val="Heading3"/>
        <w:numPr>
          <w:ilvl w:val="2"/>
          <w:numId w:val="2"/>
        </w:numPr>
        <w:tabs>
          <w:tab w:val="left" w:leader="none" w:pos="934"/>
        </w:tabs>
        <w:spacing w:before="218" w:after="0" w:line="240" w:lineRule="auto"/>
        <w:ind w:start="934" w:end="0" w:hanging="794"/>
        <w:jc w:val="left"/>
      </w:pPr>
      <w:bookmarkStart w:name="1.5.2 Baukosten" w:id="29"/>
      <w:bookmarkEnd w:id="29"/>
      <w:r>
        <w:rPr>
          <w:b w:val="0"/>
        </w:rPr>
      </w:r>
      <w:bookmarkStart w:name="_bookmark14" w:id="30"/>
      <w:bookmarkEnd w:id="30"/>
      <w:r>
        <w:rPr>
          <w:b w:val="0"/>
        </w:rPr>
      </w:r>
      <w:r>
        <w:rPr>
          <w:spacing w:val="-2"/>
        </w:rPr>
        <w:t xml:space="preserve">Stavební náklady</w:t>
      </w:r>
    </w:p>
    <w:p>
      <w:pPr>
        <w:pStyle w:val="BodyText"/>
        <w:spacing w:before="18"/>
        <w:rPr>
          <w:b/>
        </w:rPr>
      </w:pPr>
    </w:p>
    <w:p>
      <w:pPr>
        <w:pStyle w:val="BodyText"/>
        <w:ind w:start="140"/>
        <w:jc w:val="both"/>
      </w:pPr>
      <w:r>
        <w:rPr/>
        <w:t xml:space="preserve">Na základě </w:t>
      </w:r>
      <w:r>
        <w:rPr/>
        <w:t xml:space="preserve">plánování projektu </w:t>
      </w:r>
      <w:r>
        <w:rPr/>
        <w:t xml:space="preserve">po </w:t>
      </w:r>
      <w:r>
        <w:rPr/>
        <w:t xml:space="preserve">dokončení </w:t>
      </w:r>
      <w:r>
        <w:rPr/>
        <w:t xml:space="preserve">LP3 </w:t>
      </w:r>
      <w:r>
        <w:rPr/>
        <w:t xml:space="preserve">HOAI </w:t>
      </w:r>
      <w:r>
        <w:rPr>
          <w:spacing w:val="-2"/>
        </w:rPr>
        <w:t xml:space="preserve">jsou stavební náklady </w:t>
      </w:r>
      <w:r>
        <w:rPr/>
        <w:t xml:space="preserve">následující:</w:t>
      </w:r>
    </w:p>
    <w:p>
      <w:pPr>
        <w:pStyle w:val="BodyText"/>
        <w:spacing w:before="33"/>
      </w:pPr>
    </w:p>
    <w:p>
      <w:pPr>
        <w:pStyle w:val="ListParagraph"/>
        <w:numPr>
          <w:ilvl w:val="3"/>
          <w:numId w:val="2"/>
        </w:numPr>
        <w:tabs>
          <w:tab w:val="left" w:leader="none" w:pos="853"/>
        </w:tabs>
        <w:spacing w:before="0" w:after="0" w:line="240" w:lineRule="auto"/>
        <w:ind w:start="853" w:end="0" w:hanging="355"/>
        <w:jc w:val="left"/>
        <w:rPr>
          <w:sz w:val="22"/>
        </w:rPr>
      </w:pPr>
      <w:r>
        <w:rPr>
          <w:sz w:val="22"/>
        </w:rPr>
        <w:t xml:space="preserve">LOS1</w:t>
      </w:r>
      <w:r>
        <w:rPr>
          <w:sz w:val="22"/>
        </w:rPr>
        <w:t xml:space="preserve">: přibližně </w:t>
      </w:r>
      <w:r>
        <w:rPr>
          <w:sz w:val="22"/>
        </w:rPr>
        <w:t xml:space="preserve">18 </w:t>
      </w:r>
      <w:r>
        <w:rPr>
          <w:sz w:val="22"/>
        </w:rPr>
        <w:t xml:space="preserve">milionů </w:t>
      </w:r>
      <w:r>
        <w:rPr>
          <w:sz w:val="22"/>
        </w:rPr>
        <w:t xml:space="preserve">EUR </w:t>
      </w:r>
      <w:r>
        <w:rPr>
          <w:spacing w:val="-2"/>
          <w:sz w:val="22"/>
        </w:rPr>
        <w:t xml:space="preserve">netto</w:t>
      </w:r>
    </w:p>
    <w:p>
      <w:pPr>
        <w:pStyle w:val="ListParagraph"/>
        <w:numPr>
          <w:ilvl w:val="3"/>
          <w:numId w:val="2"/>
        </w:numPr>
        <w:tabs>
          <w:tab w:val="left" w:leader="none" w:pos="853"/>
        </w:tabs>
        <w:spacing w:before="168" w:after="0" w:line="240" w:lineRule="auto"/>
        <w:ind w:start="853" w:end="0" w:hanging="355"/>
        <w:jc w:val="left"/>
        <w:rPr>
          <w:sz w:val="22"/>
        </w:rPr>
      </w:pPr>
      <w:r>
        <w:rPr>
          <w:sz w:val="22"/>
        </w:rPr>
        <w:t xml:space="preserve">LOS2</w:t>
      </w:r>
      <w:r>
        <w:rPr>
          <w:sz w:val="22"/>
        </w:rPr>
        <w:t xml:space="preserve">: přibližně </w:t>
      </w:r>
      <w:r>
        <w:rPr>
          <w:sz w:val="22"/>
        </w:rPr>
        <w:t xml:space="preserve">10 </w:t>
      </w:r>
      <w:r>
        <w:rPr>
          <w:sz w:val="22"/>
        </w:rPr>
        <w:t xml:space="preserve">milionů </w:t>
      </w:r>
      <w:r>
        <w:rPr>
          <w:sz w:val="22"/>
        </w:rPr>
        <w:t xml:space="preserve">EUR </w:t>
      </w:r>
      <w:r>
        <w:rPr>
          <w:spacing w:val="-2"/>
          <w:sz w:val="22"/>
        </w:rPr>
        <w:t xml:space="preserve">netto</w:t>
      </w:r>
    </w:p>
    <w:p>
      <w:pPr>
        <w:pStyle w:val="ListParagraph"/>
        <w:numPr>
          <w:ilvl w:val="3"/>
          <w:numId w:val="2"/>
        </w:numPr>
        <w:tabs>
          <w:tab w:val="left" w:leader="none" w:pos="853"/>
        </w:tabs>
        <w:spacing w:before="171" w:after="0" w:line="240" w:lineRule="auto"/>
        <w:ind w:start="853" w:end="0" w:hanging="356"/>
        <w:jc w:val="left"/>
        <w:rPr>
          <w:sz w:val="22"/>
        </w:rPr>
      </w:pPr>
      <w:r>
        <w:rPr>
          <w:sz w:val="22"/>
        </w:rPr>
        <w:t xml:space="preserve">LOS3</w:t>
      </w:r>
      <w:r>
        <w:rPr>
          <w:sz w:val="22"/>
        </w:rPr>
        <w:t xml:space="preserve">: přibližně </w:t>
      </w:r>
      <w:r>
        <w:rPr>
          <w:sz w:val="22"/>
        </w:rPr>
        <w:t xml:space="preserve">10 </w:t>
      </w:r>
      <w:r>
        <w:rPr>
          <w:sz w:val="22"/>
        </w:rPr>
        <w:t xml:space="preserve">milionů </w:t>
      </w:r>
      <w:r>
        <w:rPr>
          <w:sz w:val="22"/>
        </w:rPr>
        <w:t xml:space="preserve">EUR </w:t>
      </w:r>
      <w:r>
        <w:rPr>
          <w:spacing w:val="-2"/>
          <w:sz w:val="22"/>
        </w:rPr>
        <w:t xml:space="preserve">netto</w:t>
      </w:r>
    </w:p>
    <w:p>
      <w:pPr>
        <w:pStyle w:val="BodyText"/>
        <w:spacing w:before="5"/>
      </w:pPr>
    </w:p>
    <w:p>
      <w:pPr>
        <w:pStyle w:val="Heading3"/>
        <w:numPr>
          <w:ilvl w:val="2"/>
          <w:numId w:val="2"/>
        </w:numPr>
        <w:tabs>
          <w:tab w:val="left" w:leader="none" w:pos="934"/>
        </w:tabs>
        <w:spacing w:before="0" w:after="0" w:line="240" w:lineRule="auto"/>
        <w:ind w:start="934" w:end="0" w:hanging="794"/>
        <w:jc w:val="left"/>
      </w:pPr>
      <w:bookmarkStart w:name="1.5.3 Projektunterlagen" w:id="31"/>
      <w:bookmarkEnd w:id="31"/>
      <w:r>
        <w:rPr>
          <w:b w:val="0"/>
        </w:rPr>
      </w:r>
      <w:bookmarkStart w:name="_bookmark15" w:id="32"/>
      <w:bookmarkEnd w:id="32"/>
      <w:r>
        <w:rPr>
          <w:b w:val="0"/>
        </w:rPr>
      </w:r>
      <w:r>
        <w:rPr>
          <w:spacing w:val="-2"/>
        </w:rPr>
        <w:t xml:space="preserve">Projektová dokumentace</w:t>
      </w:r>
    </w:p>
    <w:p>
      <w:pPr>
        <w:pStyle w:val="BodyText"/>
        <w:spacing w:before="15"/>
        <w:rPr>
          <w:b/>
        </w:rPr>
      </w:pPr>
    </w:p>
    <w:p>
      <w:pPr>
        <w:pStyle w:val="BodyText"/>
        <w:spacing w:line="288" w:lineRule="auto"/>
        <w:ind w:start="139" w:end="140"/>
        <w:jc w:val="both"/>
      </w:pPr>
      <w:r>
        <w:rPr/>
        <w:t xml:space="preserve">Podrobná zadávací dokumentace bude účastníkům zpřístupněna ve druhé fázi řízení (výběr nabídek) spolu s výzvou k podání nabídky.</w:t>
      </w:r>
    </w:p>
    <w:p>
      <w:pPr>
        <w:pStyle w:val="Heading3"/>
        <w:numPr>
          <w:ilvl w:val="2"/>
          <w:numId w:val="2"/>
        </w:numPr>
        <w:tabs>
          <w:tab w:val="left" w:leader="none" w:pos="934"/>
        </w:tabs>
        <w:spacing w:before="221" w:after="0" w:line="240" w:lineRule="auto"/>
        <w:ind w:start="934" w:end="0" w:hanging="795"/>
        <w:jc w:val="left"/>
      </w:pPr>
      <w:bookmarkStart w:name="1.5.4 Abwicklungsstrategie: Lean Managem" w:id="33"/>
      <w:bookmarkEnd w:id="33"/>
      <w:r>
        <w:rPr>
          <w:b w:val="0"/>
        </w:rPr>
      </w:r>
      <w:bookmarkStart w:name="_bookmark16" w:id="34"/>
      <w:bookmarkEnd w:id="34"/>
      <w:r>
        <w:rPr>
          <w:b w:val="0"/>
        </w:rPr>
      </w:r>
      <w:r>
        <w:rPr/>
        <w:t xml:space="preserve">Strategie provádění: </w:t>
      </w:r>
      <w:r>
        <w:rPr/>
        <w:t xml:space="preserve">štíhlý </w:t>
      </w:r>
      <w:r>
        <w:rPr/>
        <w:t xml:space="preserve">management </w:t>
      </w:r>
      <w:r>
        <w:rPr/>
        <w:t xml:space="preserve">- </w:t>
      </w:r>
      <w:r>
        <w:rPr/>
        <w:t xml:space="preserve">štíhlá </w:t>
      </w:r>
      <w:r>
        <w:rPr>
          <w:spacing w:val="-2"/>
        </w:rPr>
        <w:t xml:space="preserve">konstrukce</w:t>
      </w:r>
    </w:p>
    <w:p>
      <w:pPr>
        <w:pStyle w:val="BodyText"/>
        <w:spacing w:before="17"/>
        <w:rPr>
          <w:b/>
        </w:rPr>
      </w:pPr>
    </w:p>
    <w:p>
      <w:pPr>
        <w:pStyle w:val="BodyText"/>
        <w:spacing w:line="288" w:lineRule="auto"/>
        <w:ind w:start="139" w:end="138"/>
        <w:jc w:val="both"/>
      </w:pPr>
      <w:r>
        <w:rPr/>
        <w:t xml:space="preserve">Ve fázi plánování byly použity agilní metody (SCRUM, lean design) pro spolupráci s klientem, uživateli a plánovacím týmem. Rámec SCRUM vytvořil potřebnou transparentnost při zpracování úkolů, aby bylo zajištěno efektivní dosažení správných výsledků a </w:t>
      </w:r>
      <w:r>
        <w:rPr>
          <w:spacing w:val="-2"/>
        </w:rPr>
        <w:t xml:space="preserve">zapojení</w:t>
      </w:r>
      <w:r>
        <w:rPr/>
        <w:t xml:space="preserve"> všech zúčastněných stran do procesu plánování.</w:t>
      </w:r>
    </w:p>
    <w:p>
      <w:pPr>
        <w:pStyle w:val="BodyText"/>
        <w:spacing w:before="220" w:line="288" w:lineRule="auto"/>
        <w:ind w:start="139" w:end="140" w:hanging="1"/>
        <w:jc w:val="both"/>
      </w:pPr>
      <w:r>
        <w:rPr/>
        <w:t xml:space="preserve">Ve fázi realizace uplatňujeme metodu štíhlé konstrukce. Na základě potřebných </w:t>
      </w:r>
      <w:r>
        <w:rPr/>
        <w:t xml:space="preserve">milníků </w:t>
      </w:r>
      <w:r>
        <w:rPr/>
        <w:t xml:space="preserve">je </w:t>
      </w:r>
      <w:r>
        <w:rPr/>
        <w:t xml:space="preserve">společně </w:t>
      </w:r>
      <w:r>
        <w:rPr/>
        <w:t xml:space="preserve">s </w:t>
      </w:r>
      <w:r>
        <w:rPr/>
        <w:t xml:space="preserve">dodavateli </w:t>
      </w:r>
      <w:r>
        <w:rPr>
          <w:spacing w:val="-15"/>
        </w:rPr>
        <w:t xml:space="preserve">vypracován</w:t>
      </w:r>
      <w:r>
        <w:rPr/>
        <w:t xml:space="preserve"> postup výstavby</w:t>
      </w:r>
      <w:r>
        <w:rPr/>
        <w:t xml:space="preserve">. Na základě našich zkušeností se stavební procesy zrychlují a závazek firem ke kompletním službám se stává závazným.</w:t>
      </w:r>
    </w:p>
    <w:p>
      <w:pPr>
        <w:pStyle w:val="BodyText"/>
        <w:spacing w:after="0" w:line="288" w:lineRule="auto"/>
        <w:jc w:val="both"/>
        <w:sectPr>
          <w:pgSz w:w="11910" w:h="16840"/>
          <w:pgMar w:top="1920" w:right="992" w:bottom="820" w:left="992" w:header="0" w:footer="635"/>
        </w:sectPr>
      </w:pPr>
    </w:p>
    <w:p>
      <w:pPr>
        <w:pStyle w:val="Heading1"/>
        <w:numPr>
          <w:ilvl w:val="0"/>
          <w:numId w:val="2"/>
        </w:numPr>
        <w:tabs>
          <w:tab w:val="left" w:leader="none" w:pos="707"/>
        </w:tabs>
        <w:spacing w:before="141" w:after="0" w:line="240" w:lineRule="auto"/>
        <w:ind w:start="707" w:end="0" w:hanging="567"/>
        <w:jc w:val="left"/>
      </w:pPr>
      <w:bookmarkStart w:name="2. Ausschreibungsgegenständliche Leistun" w:id="35"/>
      <w:bookmarkEnd w:id="35"/>
      <w:r>
        <w:rPr>
          <w:b w:val="0"/>
        </w:rPr>
      </w:r>
      <w:bookmarkStart w:name="_bookmark17" w:id="36"/>
      <w:bookmarkEnd w:id="36"/>
      <w:r>
        <w:rPr>
          <w:b w:val="0"/>
        </w:rPr>
      </w:r>
      <w:r>
        <w:rPr>
          <w:spacing w:val="-2"/>
        </w:rPr>
        <w:t xml:space="preserve">Služby, </w:t>
      </w:r>
      <w:r>
        <w:rPr>
          <w:spacing w:val="-2"/>
        </w:rPr>
        <w:t xml:space="preserve">na </w:t>
      </w:r>
      <w:r>
        <w:rPr>
          <w:spacing w:val="-2"/>
        </w:rPr>
        <w:t xml:space="preserve">které </w:t>
      </w:r>
      <w:r>
        <w:rPr>
          <w:spacing w:val="-2"/>
        </w:rPr>
        <w:t xml:space="preserve">se vztahuje nabídkové řízení</w:t>
      </w:r>
    </w:p>
    <w:p>
      <w:pPr>
        <w:pStyle w:val="BodyText"/>
        <w:spacing w:before="284" w:line="288" w:lineRule="auto"/>
        <w:ind w:start="140" w:end="141"/>
        <w:jc w:val="both"/>
      </w:pPr>
      <w:r>
        <w:rPr/>
        <w:t xml:space="preserve">Předmětem zadávacího řízení jsou stavební služby pro realizaci výše uvedeného stavebního projektu, </w:t>
      </w:r>
      <w:r>
        <w:rPr>
          <w:spacing w:val="-2"/>
        </w:rPr>
        <w:t xml:space="preserve">zejména</w:t>
      </w:r>
      <w:r>
        <w:rPr/>
        <w:t xml:space="preserve">:</w:t>
      </w:r>
    </w:p>
    <w:p>
      <w:pPr>
        <w:pStyle w:val="ListParagraph"/>
        <w:numPr>
          <w:ilvl w:val="0"/>
          <w:numId w:val="4"/>
        </w:numPr>
        <w:tabs>
          <w:tab w:val="left" w:leader="none" w:pos="853"/>
        </w:tabs>
        <w:spacing w:before="234" w:after="0" w:line="271" w:lineRule="auto"/>
        <w:ind w:start="853" w:end="192" w:hanging="356"/>
        <w:jc w:val="left"/>
        <w:rPr>
          <w:sz w:val="22"/>
        </w:rPr>
      </w:pPr>
      <w:r>
        <w:rPr>
          <w:b/>
          <w:sz w:val="22"/>
        </w:rPr>
        <w:t xml:space="preserve">Část </w:t>
      </w:r>
      <w:r>
        <w:rPr>
          <w:b/>
          <w:sz w:val="22"/>
        </w:rPr>
        <w:t xml:space="preserve">1: </w:t>
      </w:r>
      <w:r>
        <w:rPr>
          <w:b/>
          <w:sz w:val="22"/>
        </w:rPr>
        <w:t xml:space="preserve">Vybavení interiéru </w:t>
      </w:r>
      <w:r>
        <w:rPr>
          <w:b/>
          <w:sz w:val="22"/>
        </w:rPr>
        <w:t xml:space="preserve">a </w:t>
      </w:r>
      <w:r>
        <w:rPr>
          <w:b/>
          <w:sz w:val="22"/>
        </w:rPr>
        <w:t xml:space="preserve">pláště budovy</w:t>
      </w:r>
      <w:r>
        <w:rPr>
          <w:sz w:val="22"/>
        </w:rPr>
        <w:t xml:space="preserve">, </w:t>
      </w:r>
      <w:r>
        <w:rPr>
          <w:sz w:val="22"/>
        </w:rPr>
        <w:t xml:space="preserve">včetně </w:t>
      </w:r>
      <w:r>
        <w:rPr>
          <w:sz w:val="22"/>
        </w:rPr>
        <w:t xml:space="preserve">demolice </w:t>
      </w:r>
      <w:r>
        <w:rPr>
          <w:sz w:val="22"/>
        </w:rPr>
        <w:t xml:space="preserve">a </w:t>
      </w:r>
      <w:r>
        <w:rPr>
          <w:sz w:val="22"/>
        </w:rPr>
        <w:t xml:space="preserve">likvidace, </w:t>
      </w:r>
      <w:r>
        <w:rPr>
          <w:sz w:val="22"/>
        </w:rPr>
        <w:t xml:space="preserve">logistiky staveniště a recyklačního centra</w:t>
      </w:r>
    </w:p>
    <w:p>
      <w:pPr>
        <w:pStyle w:val="ListParagraph"/>
        <w:numPr>
          <w:ilvl w:val="0"/>
          <w:numId w:val="4"/>
        </w:numPr>
        <w:tabs>
          <w:tab w:val="left" w:leader="none" w:pos="853"/>
        </w:tabs>
        <w:spacing w:before="153" w:after="0" w:line="240" w:lineRule="auto"/>
        <w:ind w:start="853" w:end="0" w:hanging="355"/>
        <w:jc w:val="left"/>
        <w:rPr>
          <w:sz w:val="22"/>
        </w:rPr>
      </w:pPr>
      <w:r>
        <w:rPr>
          <w:b/>
          <w:sz w:val="22"/>
        </w:rPr>
        <w:t xml:space="preserve">Část </w:t>
      </w:r>
      <w:r>
        <w:rPr>
          <w:b/>
          <w:sz w:val="22"/>
        </w:rPr>
        <w:t xml:space="preserve">2: </w:t>
      </w:r>
      <w:r>
        <w:rPr>
          <w:b/>
          <w:sz w:val="22"/>
        </w:rPr>
        <w:t xml:space="preserve">HVAC </w:t>
      </w:r>
      <w:r>
        <w:rPr>
          <w:sz w:val="22"/>
        </w:rPr>
        <w:t xml:space="preserve">/ </w:t>
      </w:r>
      <w:r>
        <w:rPr>
          <w:sz w:val="22"/>
        </w:rPr>
        <w:t xml:space="preserve">část </w:t>
      </w:r>
      <w:r>
        <w:rPr>
          <w:sz w:val="22"/>
        </w:rPr>
        <w:t xml:space="preserve">GLT </w:t>
      </w:r>
      <w:r>
        <w:rPr>
          <w:sz w:val="22"/>
        </w:rPr>
        <w:t xml:space="preserve">včetně </w:t>
      </w:r>
      <w:r>
        <w:rPr>
          <w:sz w:val="22"/>
        </w:rPr>
        <w:t xml:space="preserve">demolice </w:t>
      </w:r>
      <w:r>
        <w:rPr>
          <w:sz w:val="22"/>
        </w:rPr>
        <w:t xml:space="preserve">a </w:t>
      </w:r>
      <w:r>
        <w:rPr>
          <w:spacing w:val="-2"/>
          <w:sz w:val="22"/>
        </w:rPr>
        <w:t xml:space="preserve">likvidace</w:t>
      </w:r>
    </w:p>
    <w:p>
      <w:pPr>
        <w:pStyle w:val="ListParagraph"/>
        <w:numPr>
          <w:ilvl w:val="0"/>
          <w:numId w:val="4"/>
        </w:numPr>
        <w:tabs>
          <w:tab w:val="left" w:leader="none" w:pos="853"/>
        </w:tabs>
        <w:spacing w:before="170" w:after="0" w:line="240" w:lineRule="auto"/>
        <w:ind w:start="853" w:end="0" w:hanging="355"/>
        <w:jc w:val="left"/>
        <w:rPr>
          <w:sz w:val="22"/>
        </w:rPr>
      </w:pPr>
      <w:r>
        <w:rPr>
          <w:b/>
          <w:sz w:val="22"/>
        </w:rPr>
        <w:t xml:space="preserve">Část </w:t>
      </w:r>
      <w:r>
        <w:rPr>
          <w:b/>
          <w:sz w:val="22"/>
        </w:rPr>
        <w:t xml:space="preserve">3: </w:t>
      </w:r>
      <w:r>
        <w:rPr>
          <w:b/>
          <w:sz w:val="22"/>
        </w:rPr>
        <w:t xml:space="preserve">ELT </w:t>
      </w:r>
      <w:r>
        <w:rPr>
          <w:sz w:val="22"/>
        </w:rPr>
        <w:t xml:space="preserve">/ </w:t>
      </w:r>
      <w:r>
        <w:rPr>
          <w:sz w:val="22"/>
        </w:rPr>
        <w:t xml:space="preserve">poměrná část </w:t>
      </w:r>
      <w:r>
        <w:rPr>
          <w:sz w:val="22"/>
        </w:rPr>
        <w:t xml:space="preserve">GLT </w:t>
      </w:r>
      <w:r>
        <w:rPr>
          <w:sz w:val="22"/>
        </w:rPr>
        <w:t xml:space="preserve">včetně </w:t>
      </w:r>
      <w:r>
        <w:rPr>
          <w:sz w:val="22"/>
        </w:rPr>
        <w:t xml:space="preserve">demolice </w:t>
      </w:r>
      <w:r>
        <w:rPr>
          <w:sz w:val="22"/>
        </w:rPr>
        <w:t xml:space="preserve">a </w:t>
      </w:r>
      <w:r>
        <w:rPr>
          <w:spacing w:val="-2"/>
          <w:sz w:val="22"/>
        </w:rPr>
        <w:t xml:space="preserve">likvidace</w:t>
      </w:r>
    </w:p>
    <w:p>
      <w:pPr>
        <w:pStyle w:val="BodyText"/>
        <w:spacing w:before="3"/>
      </w:pPr>
    </w:p>
    <w:p>
      <w:pPr>
        <w:pStyle w:val="Heading3"/>
        <w:ind w:start="141" w:firstLine="0"/>
      </w:pPr>
      <w:r>
        <w:rPr>
          <w:spacing w:val="-2"/>
        </w:rPr>
        <w:t xml:space="preserve">Speciální funkce:</w:t>
      </w:r>
    </w:p>
    <w:p>
      <w:pPr>
        <w:pStyle w:val="BodyText"/>
        <w:spacing w:before="17"/>
        <w:rPr>
          <w:b/>
        </w:rPr>
      </w:pPr>
    </w:p>
    <w:p>
      <w:pPr>
        <w:pStyle w:val="BodyText"/>
        <w:spacing w:line="288" w:lineRule="auto"/>
        <w:ind w:start="141" w:end="137"/>
        <w:jc w:val="both"/>
      </w:pPr>
      <w:r>
        <w:rPr/>
        <w:t xml:space="preserve">Stavební projekt PschorrHöfe 5-6 představuje zvláštní logistickou výzvu vzhledem ke své poloze ve vnitřním městě a omezenému prostoru. Omezený prostor pro zařízení staveniště a logistiku vyžaduje přesnou koordinaci všech řemesel. Současně probíhají konkrétní renovační práce v podzemním parkovišti. To vyžaduje úzkou koordinaci mezi zúčastněnými stranami, aby byl zajištěn hladký průběh. Realizace harmonogramu vyžaduje pečlivé plánování s cílem optimalizovat tok materiálu a rozmístění pracovníků.</w:t>
      </w:r>
    </w:p>
    <w:p>
      <w:pPr>
        <w:pStyle w:val="Heading1"/>
        <w:numPr>
          <w:ilvl w:val="0"/>
          <w:numId w:val="2"/>
        </w:numPr>
        <w:tabs>
          <w:tab w:val="left" w:leader="none" w:pos="707"/>
        </w:tabs>
        <w:spacing w:before="221" w:after="0" w:line="240" w:lineRule="auto"/>
        <w:ind w:start="707" w:end="0" w:hanging="567"/>
        <w:jc w:val="left"/>
      </w:pPr>
      <w:bookmarkStart w:name="3. Termine" w:id="37"/>
      <w:bookmarkEnd w:id="37"/>
      <w:r>
        <w:rPr>
          <w:b w:val="0"/>
        </w:rPr>
      </w:r>
      <w:bookmarkStart w:name="_bookmark18" w:id="38"/>
      <w:bookmarkEnd w:id="38"/>
      <w:r>
        <w:rPr>
          <w:b w:val="0"/>
        </w:rPr>
      </w:r>
      <w:r>
        <w:rPr>
          <w:spacing w:val="-2"/>
        </w:rPr>
        <w:t xml:space="preserve">Data</w:t>
      </w:r>
    </w:p>
    <w:p>
      <w:pPr>
        <w:pStyle w:val="BodyText"/>
        <w:spacing w:before="284"/>
        <w:ind w:start="140"/>
      </w:pPr>
      <w:r>
        <w:rPr/>
        <w:t xml:space="preserve">Termíny rámování </w:t>
      </w:r>
      <w:r>
        <w:rPr/>
        <w:t xml:space="preserve">jsou </w:t>
      </w:r>
      <w:r>
        <w:rPr>
          <w:spacing w:val="-2"/>
        </w:rPr>
        <w:t xml:space="preserve">následující</w:t>
      </w:r>
      <w:r>
        <w:rPr/>
        <w:t xml:space="preserve">:</w:t>
      </w:r>
    </w:p>
    <w:p>
      <w:pPr>
        <w:pStyle w:val="BodyText"/>
        <w:spacing w:before="54" w:after="1"/>
        <w:rPr>
          <w:sz w:val="20"/>
        </w:rPr>
      </w:pPr>
    </w:p>
    <w:tbl>
      <w:tblPr>
        <w:tblW w:w="0" w:type="auto"/>
        <w:jc w:val="left"/>
        <w:tblInd w:w="4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1E0"/>
      </w:tblPr>
      <w:tblGrid>
        <w:gridCol w:w="4953"/>
        <w:gridCol w:w="2625"/>
      </w:tblGrid>
      <w:tr>
        <w:trPr>
          <w:trHeight w:val="256" w:hRule="atLeast"/>
        </w:trPr>
        <w:tc>
          <w:tcPr>
            <w:tcW w:w="4953" w:type="dxa"/>
          </w:tcPr>
          <w:p>
            <w:pPr>
              <w:pStyle w:val="TableParagraph"/>
              <w:spacing w:before="0" w:line="225" w:lineRule="exact"/>
              <w:ind w:start="50"/>
              <w:rPr>
                <w:sz w:val="22"/>
              </w:rPr>
            </w:pPr>
            <w:r>
              <w:rPr>
                <w:sz w:val="22"/>
              </w:rPr>
              <w:t xml:space="preserve">Uvádění </w:t>
            </w:r>
            <w:r>
              <w:rPr>
                <w:sz w:val="22"/>
              </w:rPr>
              <w:t xml:space="preserve">prováděcích </w:t>
            </w:r>
            <w:r>
              <w:rPr>
                <w:spacing w:val="-2"/>
                <w:sz w:val="22"/>
              </w:rPr>
              <w:t xml:space="preserve">společností </w:t>
            </w:r>
            <w:r>
              <w:rPr>
                <w:sz w:val="22"/>
              </w:rPr>
              <w:t xml:space="preserve">do provozu:</w:t>
            </w:r>
          </w:p>
        </w:tc>
        <w:tc>
          <w:tcPr>
            <w:tcW w:w="2625" w:type="dxa"/>
          </w:tcPr>
          <w:p>
            <w:pPr>
              <w:pStyle w:val="TableParagraph"/>
              <w:spacing w:before="0" w:line="225" w:lineRule="exact"/>
              <w:ind w:start="0" w:end="48"/>
              <w:jc w:val="right"/>
              <w:rPr>
                <w:sz w:val="22"/>
              </w:rPr>
            </w:pPr>
            <w:r>
              <w:rPr>
                <w:sz w:val="22"/>
              </w:rPr>
              <w:t xml:space="preserve">06/ </w:t>
            </w:r>
            <w:r>
              <w:rPr>
                <w:spacing w:val="-4"/>
                <w:sz w:val="22"/>
              </w:rPr>
              <w:t xml:space="preserve">2025</w:t>
            </w:r>
          </w:p>
        </w:tc>
      </w:tr>
      <w:tr>
        <w:trPr>
          <w:trHeight w:val="303" w:hRule="atLeast"/>
        </w:trPr>
        <w:tc>
          <w:tcPr>
            <w:tcW w:w="4953" w:type="dxa"/>
          </w:tcPr>
          <w:p>
            <w:pPr>
              <w:pStyle w:val="TableParagraph"/>
              <w:spacing w:before="0" w:line="261" w:lineRule="exact"/>
              <w:ind w:start="50"/>
              <w:rPr>
                <w:sz w:val="22"/>
              </w:rPr>
            </w:pPr>
            <w:r>
              <w:rPr>
                <w:spacing w:val="-2"/>
                <w:sz w:val="22"/>
              </w:rPr>
              <w:t xml:space="preserve">Zahájení stavby:</w:t>
            </w:r>
          </w:p>
        </w:tc>
        <w:tc>
          <w:tcPr>
            <w:tcW w:w="2625" w:type="dxa"/>
          </w:tcPr>
          <w:p>
            <w:pPr>
              <w:pStyle w:val="TableParagraph"/>
              <w:spacing w:before="0" w:line="261" w:lineRule="exact"/>
              <w:ind w:start="0" w:end="75"/>
              <w:jc w:val="right"/>
              <w:rPr>
                <w:sz w:val="22"/>
              </w:rPr>
            </w:pPr>
            <w:r>
              <w:rPr>
                <w:spacing w:val="-2"/>
                <w:sz w:val="22"/>
              </w:rPr>
              <w:t xml:space="preserve">07/2025</w:t>
            </w:r>
          </w:p>
        </w:tc>
      </w:tr>
      <w:tr>
        <w:trPr>
          <w:trHeight w:val="267" w:hRule="atLeast"/>
        </w:trPr>
        <w:tc>
          <w:tcPr>
            <w:tcW w:w="4953" w:type="dxa"/>
          </w:tcPr>
          <w:p>
            <w:pPr>
              <w:pStyle w:val="TableParagraph"/>
              <w:spacing w:before="3" w:line="245" w:lineRule="exact"/>
              <w:ind w:start="50"/>
              <w:rPr>
                <w:sz w:val="22"/>
              </w:rPr>
            </w:pPr>
            <w:r>
              <w:rPr>
                <w:spacing w:val="-2"/>
                <w:sz w:val="22"/>
              </w:rPr>
              <w:t xml:space="preserve">Dokončení stavby:</w:t>
            </w:r>
          </w:p>
        </w:tc>
        <w:tc>
          <w:tcPr>
            <w:tcW w:w="2625" w:type="dxa"/>
          </w:tcPr>
          <w:p>
            <w:pPr>
              <w:pStyle w:val="TableParagraph"/>
              <w:spacing w:before="3" w:line="245" w:lineRule="exact"/>
              <w:ind w:start="0" w:end="74"/>
              <w:jc w:val="right"/>
              <w:rPr>
                <w:sz w:val="22"/>
              </w:rPr>
            </w:pPr>
            <w:r>
              <w:rPr>
                <w:spacing w:val="-2"/>
                <w:sz w:val="22"/>
              </w:rPr>
              <w:t xml:space="preserve">12/2026</w:t>
            </w:r>
          </w:p>
        </w:tc>
      </w:tr>
    </w:tbl>
    <w:sectPr>
      <w:pgSz w:w="11910" w:h="16840"/>
      <w:pgMar w:top="1920" w:right="992" w:bottom="820" w:left="992" w:header="0" w:footer="63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rPr>
        <w:sz w:val="20"/>
      </w:rPr>
    </w:pPr>
    <w:r>
      <w:rPr>
        <w:sz w:val="20"/>
      </w:rPr>
      <ve:AlternateContent>
        <ve:Choice Requires="wps">
          <w:drawing>
            <wp:anchor distT="0" distB="0" distL="0" distR="0" simplePos="0" relativeHeight="487404032" behindDoc="1" locked="0" layoutInCell="1" allowOverlap="1">
              <wp:simplePos x="0" y="0"/>
              <wp:positionH relativeFrom="page">
                <wp:posOffset>706600</wp:posOffset>
              </wp:positionH>
              <wp:positionV relativeFrom="page">
                <wp:posOffset>10149080</wp:posOffset>
              </wp:positionV>
              <wp:extent cx="149923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99235" cy="167005"/>
                      </a:xfrm>
                      <a:prstGeom prst="rect">
                        <a:avLst/>
                      </a:prstGeom>
                    </wps:spPr>
                    <wps:txbx>
                      <w:txbxContent>
                        <w:p>
                          <w:pPr>
                            <w:spacing w:before="12"/>
                            <w:ind w:start="20" w:end="0" w:firstLine="0"/>
                            <w:jc w:val="left"/>
                            <w:rPr>
                              <w:sz w:val="20"/>
                            </w:rPr>
                          </w:pPr>
                          <w:r>
                            <w:rPr>
                              <w:sz w:val="20"/>
                            </w:rPr>
                            <w:t xml:space="preserve">4380 </w:t>
                          </w:r>
                          <w:r>
                            <w:rPr>
                              <w:spacing w:val="-2"/>
                              <w:sz w:val="20"/>
                            </w:rPr>
                            <w:t xml:space="preserve">Popis projektu</w:t>
                          </w:r>
                        </w:p>
                      </w:txbxContent>
                    </wps:txbx>
                    <wps:bodyPr wrap="square" lIns="0" tIns="0" rIns="0" bIns="0" rtlCol="0">
                      <a:noAutofit/>
                    </wps:bodyPr>
                  </wps:wsp>
                </a:graphicData>
              </a:graphic>
            </wp:anchor>
          </w:drawing>
        </ve:Choice>
        <ve:Fallback>
          <w:pict>
            <v:shapetype id="_x0000_t202" coordsize="21600,21600" o:spt="202" path="m,l,21600r21600,l21600,xe">
              <v:stroke joinstyle="miter"/>
              <v:path gradientshapeok="t" o:connecttype="rect"/>
            </v:shapetype>
            <v:shape id="docshape1" style="position:absolute;margin-left:55.63784pt;margin-top:799.140198pt;width:118.05pt;height:13.15pt;mso-position-horizontal-relative:page;mso-position-vertical-relative:page;z-index:-15912448" filled="false" stroked="false" type="#_x0000_t202">
              <v:textbox inset="0,0,0,0">
                <w:txbxContent>
                  <w:p>
                    <w:pPr>
                      <w:spacing w:before="12"/>
                      <w:ind w:start="20" w:end="0" w:firstLine="0"/>
                      <w:jc w:val="left"/>
                      <w:rPr>
                        <w:sz w:val="20"/>
                      </w:rPr>
                    </w:pPr>
                    <w:r>
                      <w:rPr>
                        <w:sz w:val="20"/>
                      </w:rPr>
                      <w:t xml:space="preserve">4380 </w:t>
                    </w:r>
                    <w:r>
                      <w:rPr>
                        <w:spacing w:val="-2"/>
                        <w:sz w:val="20"/>
                      </w:rPr>
                      <w:t xml:space="preserve">Popis projektu</w:t>
                    </w:r>
                  </w:p>
                </w:txbxContent>
              </v:textbox>
              <w10:wrap type="none"/>
            </v:shape>
          </w:pict>
        </ve:Fallback>
      </ve:AlternateContent>
    </w:r>
    <w:r>
      <w:rPr>
        <w:sz w:val="20"/>
      </w:rPr>
      <ve:AlternateContent>
        <ve:Choice Requires="wps">
          <w:drawing>
            <wp:anchor distT="0" distB="0" distL="0" distR="0" simplePos="0" relativeHeight="487404544" behindDoc="1" locked="0" layoutInCell="1" allowOverlap="1">
              <wp:simplePos x="0" y="0"/>
              <wp:positionH relativeFrom="page">
                <wp:posOffset>6298179</wp:posOffset>
              </wp:positionH>
              <wp:positionV relativeFrom="page">
                <wp:posOffset>10149080</wp:posOffset>
              </wp:positionV>
              <wp:extent cx="553085" cy="1670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53085" cy="167005"/>
                      </a:xfrm>
                      <a:prstGeom prst="rect">
                        <a:avLst/>
                      </a:prstGeom>
                    </wps:spPr>
                    <wps:txbx>
                      <w:txbxContent>
                        <w:p>
                          <w:pPr>
                            <w:spacing w:before="12"/>
                            <w:ind w:start="20" w:end="0" w:firstLine="0"/>
                            <w:jc w:val="left"/>
                            <w:rPr>
                              <w:sz w:val="20"/>
                            </w:rPr>
                          </w:pPr>
                          <w:r>
                            <w:rPr>
                              <w:spacing w:val="-2"/>
                              <w:sz w:val="20"/>
                            </w:rPr>
                            <w:t xml:space="preserve">Titulní list</w:t>
                          </w:r>
                        </w:p>
                      </w:txbxContent>
                    </wps:txbx>
                    <wps:bodyPr wrap="square" lIns="0" tIns="0" rIns="0" bIns="0" rtlCol="0">
                      <a:noAutofit/>
                    </wps:bodyPr>
                  </wps:wsp>
                </a:graphicData>
              </a:graphic>
            </wp:anchor>
          </w:drawing>
        </ve:Choice>
        <ve:Fallback>
          <w:pict>
            <v:shape id="docshape2" style="position:absolute;margin-left:495.919647pt;margin-top:799.140198pt;width:43.55pt;height:13.15pt;mso-position-horizontal-relative:page;mso-position-vertical-relative:page;z-index:-15911936" filled="false" stroked="false" type="#_x0000_t202">
              <v:textbox inset="0,0,0,0">
                <w:txbxContent>
                  <w:p>
                    <w:pPr>
                      <w:spacing w:before="12"/>
                      <w:ind w:start="20" w:end="0" w:firstLine="0"/>
                      <w:jc w:val="left"/>
                      <w:rPr>
                        <w:sz w:val="20"/>
                      </w:rPr>
                    </w:pPr>
                    <w:r>
                      <w:rPr>
                        <w:spacing w:val="-2"/>
                        <w:sz w:val="20"/>
                      </w:rPr>
                      <w:t xml:space="preserve">Titulní list</w:t>
                    </w:r>
                  </w:p>
                </w:txbxContent>
              </v:textbox>
              <w10:wrap type="none"/>
            </v:shape>
          </w:pict>
        </ve:Fallback>
      </ve: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rPr>
        <w:sz w:val="20"/>
      </w:rPr>
    </w:pPr>
    <w:r>
      <w:rPr>
        <w:sz w:val="20"/>
      </w:rPr>
      <ve:AlternateContent>
        <ve:Choice Requires="wps">
          <w:drawing>
            <wp:anchor distT="0" distB="0" distL="0" distR="0" simplePos="0" relativeHeight="487405056" behindDoc="1" locked="0" layoutInCell="1" allowOverlap="1">
              <wp:simplePos x="0" y="0"/>
              <wp:positionH relativeFrom="page">
                <wp:posOffset>706600</wp:posOffset>
              </wp:positionH>
              <wp:positionV relativeFrom="page">
                <wp:posOffset>10149160</wp:posOffset>
              </wp:positionV>
              <wp:extent cx="1499235" cy="1670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99235" cy="167005"/>
                      </a:xfrm>
                      <a:prstGeom prst="rect">
                        <a:avLst/>
                      </a:prstGeom>
                    </wps:spPr>
                    <wps:txbx>
                      <w:txbxContent>
                        <w:p>
                          <w:pPr>
                            <w:spacing w:before="12"/>
                            <w:ind w:start="20" w:end="0" w:firstLine="0"/>
                            <w:jc w:val="left"/>
                            <w:rPr>
                              <w:sz w:val="20"/>
                            </w:rPr>
                          </w:pPr>
                          <w:r>
                            <w:rPr>
                              <w:sz w:val="20"/>
                            </w:rPr>
                            <w:t xml:space="preserve">4380 </w:t>
                          </w:r>
                          <w:r>
                            <w:rPr>
                              <w:spacing w:val="-2"/>
                              <w:sz w:val="20"/>
                            </w:rPr>
                            <w:t xml:space="preserve">Popis projektu</w:t>
                          </w:r>
                        </w:p>
                      </w:txbxContent>
                    </wps:txbx>
                    <wps:bodyPr wrap="square" lIns="0" tIns="0" rIns="0" bIns="0" rtlCol="0">
                      <a:noAutofit/>
                    </wps:bodyPr>
                  </wps:wsp>
                </a:graphicData>
              </a:graphic>
            </wp:anchor>
          </w:drawing>
        </ve:Choice>
        <ve:Fallback>
          <w:pict>
            <v:shape id="docshape3" style="position:absolute;margin-left:55.63784pt;margin-top:799.146484pt;width:118.05pt;height:13.15pt;mso-position-horizontal-relative:page;mso-position-vertical-relative:page;z-index:-15911424" filled="false" stroked="false" type="#_x0000_t202">
              <v:textbox inset="0,0,0,0">
                <w:txbxContent>
                  <w:p>
                    <w:pPr>
                      <w:spacing w:before="12"/>
                      <w:ind w:start="20" w:end="0" w:firstLine="0"/>
                      <w:jc w:val="left"/>
                      <w:rPr>
                        <w:sz w:val="20"/>
                      </w:rPr>
                    </w:pPr>
                    <w:r>
                      <w:rPr>
                        <w:sz w:val="20"/>
                      </w:rPr>
                      <w:t xml:space="preserve">4380 </w:t>
                    </w:r>
                    <w:r>
                      <w:rPr>
                        <w:spacing w:val="-2"/>
                        <w:sz w:val="20"/>
                      </w:rPr>
                      <w:t xml:space="preserve">Popis projektu</w:t>
                    </w:r>
                  </w:p>
                </w:txbxContent>
              </v:textbox>
              <w10:wrap type="none"/>
            </v:shape>
          </w:pict>
        </ve:Fallback>
      </ve:AlternateContent>
    </w:r>
    <w:r>
      <w:rPr>
        <w:sz w:val="20"/>
      </w:rPr>
      <ve:AlternateContent>
        <ve:Choice Requires="wps">
          <w:drawing>
            <wp:anchor distT="0" distB="0" distL="0" distR="0" simplePos="0" relativeHeight="487405568" behindDoc="1" locked="0" layoutInCell="1" allowOverlap="1">
              <wp:simplePos x="0" y="0"/>
              <wp:positionH relativeFrom="page">
                <wp:posOffset>5818142</wp:posOffset>
              </wp:positionH>
              <wp:positionV relativeFrom="page">
                <wp:posOffset>10149160</wp:posOffset>
              </wp:positionV>
              <wp:extent cx="1033780" cy="16700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033780" cy="167005"/>
                      </a:xfrm>
                      <a:prstGeom prst="rect">
                        <a:avLst/>
                      </a:prstGeom>
                    </wps:spPr>
                    <wps:txbx>
                      <w:txbxContent>
                        <w:p>
                          <w:pPr>
                            <w:spacing w:before="12"/>
                            <w:ind w:start="20" w:end="0" w:firstLine="0"/>
                            <w:jc w:val="left"/>
                            <w:rPr>
                              <w:sz w:val="20"/>
                            </w:rPr>
                          </w:pPr>
                          <w:r>
                            <w:rPr>
                              <w:spacing w:val="-2"/>
                              <w:sz w:val="20"/>
                            </w:rPr>
                            <w:t xml:space="preserve">Obsah</w:t>
                          </w:r>
                        </w:p>
                      </w:txbxContent>
                    </wps:txbx>
                    <wps:bodyPr wrap="square" lIns="0" tIns="0" rIns="0" bIns="0" rtlCol="0">
                      <a:noAutofit/>
                    </wps:bodyPr>
                  </wps:wsp>
                </a:graphicData>
              </a:graphic>
            </wp:anchor>
          </w:drawing>
        </ve:Choice>
        <ve:Fallback>
          <w:pict>
            <v:shape id="docshape4" style="position:absolute;margin-left:458.121429pt;margin-top:799.146484pt;width:81.4pt;height:13.15pt;mso-position-horizontal-relative:page;mso-position-vertical-relative:page;z-index:-15910912" filled="false" stroked="false" type="#_x0000_t202">
              <v:textbox inset="0,0,0,0">
                <w:txbxContent>
                  <w:p>
                    <w:pPr>
                      <w:spacing w:before="12"/>
                      <w:ind w:start="20" w:end="0" w:firstLine="0"/>
                      <w:jc w:val="left"/>
                      <w:rPr>
                        <w:sz w:val="20"/>
                      </w:rPr>
                    </w:pPr>
                    <w:r>
                      <w:rPr>
                        <w:spacing w:val="-2"/>
                        <w:sz w:val="20"/>
                      </w:rPr>
                      <w:t xml:space="preserve">Obsah</w:t>
                    </w:r>
                  </w:p>
                </w:txbxContent>
              </v:textbox>
              <w10:wrap type="none"/>
            </v:shape>
          </w:pict>
        </ve:Fallback>
      </ve: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rPr>
        <w:sz w:val="20"/>
      </w:rPr>
    </w:pPr>
    <w:r>
      <w:rPr>
        <w:sz w:val="20"/>
      </w:rPr>
      <ve:AlternateContent>
        <ve:Choice Requires="wps">
          <w:drawing>
            <wp:anchor distT="0" distB="0" distL="0" distR="0" simplePos="0" relativeHeight="487406080" behindDoc="1" locked="0" layoutInCell="1" allowOverlap="1">
              <wp:simplePos x="0" y="0"/>
              <wp:positionH relativeFrom="page">
                <wp:posOffset>706600</wp:posOffset>
              </wp:positionH>
              <wp:positionV relativeFrom="page">
                <wp:posOffset>10149160</wp:posOffset>
              </wp:positionV>
              <wp:extent cx="1499235" cy="1670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499235" cy="167005"/>
                      </a:xfrm>
                      <a:prstGeom prst="rect">
                        <a:avLst/>
                      </a:prstGeom>
                    </wps:spPr>
                    <wps:txbx>
                      <w:txbxContent>
                        <w:p>
                          <w:pPr>
                            <w:spacing w:before="12"/>
                            <w:ind w:start="20" w:end="0" w:firstLine="0"/>
                            <w:jc w:val="left"/>
                            <w:rPr>
                              <w:sz w:val="20"/>
                            </w:rPr>
                          </w:pPr>
                          <w:r>
                            <w:rPr>
                              <w:sz w:val="20"/>
                            </w:rPr>
                            <w:t xml:space="preserve">4380 </w:t>
                          </w:r>
                          <w:r>
                            <w:rPr>
                              <w:spacing w:val="-2"/>
                              <w:sz w:val="20"/>
                            </w:rPr>
                            <w:t xml:space="preserve">Popis projektu</w:t>
                          </w:r>
                        </w:p>
                      </w:txbxContent>
                    </wps:txbx>
                    <wps:bodyPr wrap="square" lIns="0" tIns="0" rIns="0" bIns="0" rtlCol="0">
                      <a:noAutofit/>
                    </wps:bodyPr>
                  </wps:wsp>
                </a:graphicData>
              </a:graphic>
            </wp:anchor>
          </w:drawing>
        </ve:Choice>
        <ve:Fallback>
          <w:pict>
            <v:shape id="docshape5" style="position:absolute;margin-left:55.63784pt;margin-top:799.146484pt;width:118.05pt;height:13.15pt;mso-position-horizontal-relative:page;mso-position-vertical-relative:page;z-index:-15910400" filled="false" stroked="false" type="#_x0000_t202">
              <v:textbox inset="0,0,0,0">
                <w:txbxContent>
                  <w:p>
                    <w:pPr>
                      <w:spacing w:before="12"/>
                      <w:ind w:start="20" w:end="0" w:firstLine="0"/>
                      <w:jc w:val="left"/>
                      <w:rPr>
                        <w:sz w:val="20"/>
                      </w:rPr>
                    </w:pPr>
                    <w:r>
                      <w:rPr>
                        <w:sz w:val="20"/>
                      </w:rPr>
                      <w:t xml:space="preserve">4380 </w:t>
                    </w:r>
                    <w:r>
                      <w:rPr>
                        <w:spacing w:val="-2"/>
                        <w:sz w:val="20"/>
                      </w:rPr>
                      <w:t xml:space="preserve">Popis projektu</w:t>
                    </w:r>
                  </w:p>
                </w:txbxContent>
              </v:textbox>
              <w10:wrap type="none"/>
            </v:shape>
          </w:pict>
        </ve:Fallback>
      </ve:AlternateContent>
    </w:r>
    <w:r>
      <w:rPr>
        <w:sz w:val="20"/>
      </w:rPr>
      <ve:AlternateContent>
        <ve:Choice Requires="wps">
          <w:drawing>
            <wp:anchor distT="0" distB="0" distL="0" distR="0" simplePos="0" relativeHeight="487406592" behindDoc="1" locked="0" layoutInCell="1" allowOverlap="1">
              <wp:simplePos x="0" y="0"/>
              <wp:positionH relativeFrom="page">
                <wp:posOffset>6086305</wp:posOffset>
              </wp:positionH>
              <wp:positionV relativeFrom="page">
                <wp:posOffset>10149160</wp:posOffset>
              </wp:positionV>
              <wp:extent cx="765175" cy="16700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765175" cy="167005"/>
                      </a:xfrm>
                      <a:prstGeom prst="rect">
                        <a:avLst/>
                      </a:prstGeom>
                    </wps:spPr>
                    <wps:txbx>
                      <w:txbxContent>
                        <w:p>
                          <w:pPr>
                            <w:spacing w:before="12"/>
                            <w:ind w:start="20" w:end="0" w:firstLine="0"/>
                            <w:jc w:val="left"/>
                            <w:rPr>
                              <w:sz w:val="20"/>
                            </w:rPr>
                          </w:pPr>
                          <w:r>
                            <w:rPr>
                              <w:spacing w:val="-5"/>
                              <w:sz w:val="20"/>
                            </w:rPr>
                            <w:t xml:space="preserve">Stránka </w:t>
                          </w:r>
                          <w:r>
                            <w:rPr>
                              <w:sz w:val="20"/>
                            </w:rPr>
                            <w:fldChar w:fldCharType="begin"/>
                          </w:r>
                          <w:r>
                            <w:rPr>
                              <w:sz w:val="20"/>
                            </w:rPr>
                            <w:instrText> PAGE </w:instrText>
                          </w:r>
                          <w:r>
                            <w:rPr>
                              <w:sz w:val="20"/>
                            </w:rPr>
                            <w:fldChar w:fldCharType="separate"/>
                          </w:r>
                          <w:r>
                            <w:rPr>
                              <w:sz w:val="20"/>
                            </w:rPr>
                            <w:t xml:space="preserve">1</w:t>
                          </w:r>
                          <w:r>
                            <w:rPr>
                              <w:sz w:val="20"/>
                            </w:rPr>
                            <w:fldChar w:fldCharType="end"/>
                          </w:r>
                          <w:r>
                            <w:rPr>
                              <w:sz w:val="20"/>
                            </w:rPr>
                            <w:t xml:space="preserve"> od </w:t>
                          </w:r>
                          <w:r>
                            <w:rPr>
                              <w:spacing w:val="-10"/>
                              <w:sz w:val="20"/>
                            </w:rPr>
                            <w:t xml:space="preserve">6</w:t>
                          </w:r>
                        </w:p>
                      </w:txbxContent>
                    </wps:txbx>
                    <wps:bodyPr wrap="square" lIns="0" tIns="0" rIns="0" bIns="0" rtlCol="0">
                      <a:noAutofit/>
                    </wps:bodyPr>
                  </wps:wsp>
                </a:graphicData>
              </a:graphic>
            </wp:anchor>
          </w:drawing>
        </ve:Choice>
        <ve:Fallback>
          <w:pict>
            <v:shape id="docshape6" style="position:absolute;margin-left:479.236633pt;margin-top:799.146484pt;width:60.25pt;height:13.15pt;mso-position-horizontal-relative:page;mso-position-vertical-relative:page;z-index:-15909888" filled="false" stroked="false" type="#_x0000_t202">
              <v:textbox inset="0,0,0,0">
                <w:txbxContent>
                  <w:p>
                    <w:pPr>
                      <w:spacing w:before="12"/>
                      <w:ind w:start="20" w:end="0" w:firstLine="0"/>
                      <w:jc w:val="left"/>
                      <w:rPr>
                        <w:sz w:val="20"/>
                      </w:rPr>
                    </w:pPr>
                    <w:r>
                      <w:rPr>
                        <w:spacing w:val="-5"/>
                        <w:sz w:val="20"/>
                      </w:rPr>
                      <w:t xml:space="preserve">Stránka </w:t>
                    </w:r>
                    <w:r>
                      <w:rPr>
                        <w:sz w:val="20"/>
                      </w:rPr>
                      <w:fldChar w:fldCharType="begin"/>
                    </w:r>
                    <w:r>
                      <w:rPr>
                        <w:sz w:val="20"/>
                      </w:rPr>
                      <w:instrText> PAGE </w:instrText>
                    </w:r>
                    <w:r>
                      <w:rPr>
                        <w:sz w:val="20"/>
                      </w:rPr>
                      <w:fldChar w:fldCharType="separate"/>
                    </w:r>
                    <w:r>
                      <w:rPr>
                        <w:sz w:val="20"/>
                      </w:rPr>
                      <w:t xml:space="preserve">1</w:t>
                    </w:r>
                    <w:r>
                      <w:rPr>
                        <w:sz w:val="20"/>
                      </w:rPr>
                      <w:fldChar w:fldCharType="end"/>
                    </w:r>
                    <w:r>
                      <w:rPr>
                        <w:sz w:val="20"/>
                      </w:rPr>
                      <w:t xml:space="preserve"> od </w:t>
                    </w:r>
                    <w:r>
                      <w:rPr>
                        <w:spacing w:val="-10"/>
                        <w:sz w:val="20"/>
                      </w:rPr>
                      <w:t xml:space="preserve">6</w:t>
                    </w:r>
                  </w:p>
                </w:txbxContent>
              </v:textbox>
              <w10:wrap type="none"/>
            </v:shape>
          </w:pict>
        </ve:Fallback>
      </ve: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53" w:hanging="356"/>
      </w:pPr>
      <w:rPr>
        <w:rFonts w:hint="default" w:ascii="Calibri" w:hAnsi="Calibri" w:eastAsia="Calibri" w:cs="Calibri"/>
        <w:b w:val="0"/>
        <w:bCs w:val="0"/>
        <w:i w:val="0"/>
        <w:iCs w:val="0"/>
        <w:spacing w:val="0"/>
        <w:w w:val="92"/>
        <w:sz w:val="22"/>
        <w:szCs w:val="22"/>
        <w:lang w:val="de-DE" w:eastAsia="en-US" w:bidi="ar-SA"/>
      </w:rPr>
    </w:lvl>
    <w:lvl w:ilvl="1">
      <w:start w:val="0"/>
      <w:numFmt w:val="bullet"/>
      <w:lvlText w:val="•"/>
      <w:lvlJc w:val="left"/>
      <w:pPr>
        <w:ind w:left="1766" w:hanging="356"/>
      </w:pPr>
      <w:rPr>
        <w:rFonts w:hint="default"/>
        <w:lang w:val="de-DE" w:eastAsia="en-US" w:bidi="ar-SA"/>
      </w:rPr>
    </w:lvl>
    <w:lvl w:ilvl="2">
      <w:start w:val="0"/>
      <w:numFmt w:val="bullet"/>
      <w:lvlText w:val="•"/>
      <w:lvlJc w:val="left"/>
      <w:pPr>
        <w:ind w:left="2672" w:hanging="356"/>
      </w:pPr>
      <w:rPr>
        <w:rFonts w:hint="default"/>
        <w:lang w:val="de-DE" w:eastAsia="en-US" w:bidi="ar-SA"/>
      </w:rPr>
    </w:lvl>
    <w:lvl w:ilvl="3">
      <w:start w:val="0"/>
      <w:numFmt w:val="bullet"/>
      <w:lvlText w:val="•"/>
      <w:lvlJc w:val="left"/>
      <w:pPr>
        <w:ind w:left="3578" w:hanging="356"/>
      </w:pPr>
      <w:rPr>
        <w:rFonts w:hint="default"/>
        <w:lang w:val="de-DE" w:eastAsia="en-US" w:bidi="ar-SA"/>
      </w:rPr>
    </w:lvl>
    <w:lvl w:ilvl="4">
      <w:start w:val="0"/>
      <w:numFmt w:val="bullet"/>
      <w:lvlText w:val="•"/>
      <w:lvlJc w:val="left"/>
      <w:pPr>
        <w:ind w:left="4484" w:hanging="356"/>
      </w:pPr>
      <w:rPr>
        <w:rFonts w:hint="default"/>
        <w:lang w:val="de-DE" w:eastAsia="en-US" w:bidi="ar-SA"/>
      </w:rPr>
    </w:lvl>
    <w:lvl w:ilvl="5">
      <w:start w:val="0"/>
      <w:numFmt w:val="bullet"/>
      <w:lvlText w:val="•"/>
      <w:lvlJc w:val="left"/>
      <w:pPr>
        <w:ind w:left="5391" w:hanging="356"/>
      </w:pPr>
      <w:rPr>
        <w:rFonts w:hint="default"/>
        <w:lang w:val="de-DE" w:eastAsia="en-US" w:bidi="ar-SA"/>
      </w:rPr>
    </w:lvl>
    <w:lvl w:ilvl="6">
      <w:start w:val="0"/>
      <w:numFmt w:val="bullet"/>
      <w:lvlText w:val="•"/>
      <w:lvlJc w:val="left"/>
      <w:pPr>
        <w:ind w:left="6297" w:hanging="356"/>
      </w:pPr>
      <w:rPr>
        <w:rFonts w:hint="default"/>
        <w:lang w:val="de-DE" w:eastAsia="en-US" w:bidi="ar-SA"/>
      </w:rPr>
    </w:lvl>
    <w:lvl w:ilvl="7">
      <w:start w:val="0"/>
      <w:numFmt w:val="bullet"/>
      <w:lvlText w:val="•"/>
      <w:lvlJc w:val="left"/>
      <w:pPr>
        <w:ind w:left="7203" w:hanging="356"/>
      </w:pPr>
      <w:rPr>
        <w:rFonts w:hint="default"/>
        <w:lang w:val="de-DE" w:eastAsia="en-US" w:bidi="ar-SA"/>
      </w:rPr>
    </w:lvl>
    <w:lvl w:ilvl="8">
      <w:start w:val="0"/>
      <w:numFmt w:val="bullet"/>
      <w:lvlText w:val="•"/>
      <w:lvlJc w:val="left"/>
      <w:pPr>
        <w:ind w:left="8109" w:hanging="356"/>
      </w:pPr>
      <w:rPr>
        <w:rFonts w:hint="default"/>
        <w:lang w:val="de-DE" w:eastAsia="en-US" w:bidi="ar-SA"/>
      </w:rPr>
    </w:lvl>
  </w:abstractNum>
  <w:abstractNum w:abstractNumId="2">
    <w:multiLevelType w:val="hybridMultilevel"/>
    <w:lvl w:ilvl="0">
      <w:start w:val="0"/>
      <w:numFmt w:val="bullet"/>
      <w:lvlText w:val="•"/>
      <w:lvlJc w:val="left"/>
      <w:pPr>
        <w:ind w:left="853" w:hanging="356"/>
      </w:pPr>
      <w:rPr>
        <w:rFonts w:hint="default" w:ascii="Calibri" w:hAnsi="Calibri" w:eastAsia="Calibri" w:cs="Calibri"/>
        <w:b w:val="0"/>
        <w:bCs w:val="0"/>
        <w:i w:val="0"/>
        <w:iCs w:val="0"/>
        <w:spacing w:val="0"/>
        <w:w w:val="92"/>
        <w:sz w:val="22"/>
        <w:szCs w:val="22"/>
        <w:lang w:val="de-DE" w:eastAsia="en-US" w:bidi="ar-SA"/>
      </w:rPr>
    </w:lvl>
    <w:lvl w:ilvl="1">
      <w:start w:val="0"/>
      <w:numFmt w:val="bullet"/>
      <w:lvlText w:val="•"/>
      <w:lvlJc w:val="left"/>
      <w:pPr>
        <w:ind w:left="1766" w:hanging="356"/>
      </w:pPr>
      <w:rPr>
        <w:rFonts w:hint="default"/>
        <w:lang w:val="de-DE" w:eastAsia="en-US" w:bidi="ar-SA"/>
      </w:rPr>
    </w:lvl>
    <w:lvl w:ilvl="2">
      <w:start w:val="0"/>
      <w:numFmt w:val="bullet"/>
      <w:lvlText w:val="•"/>
      <w:lvlJc w:val="left"/>
      <w:pPr>
        <w:ind w:left="2672" w:hanging="356"/>
      </w:pPr>
      <w:rPr>
        <w:rFonts w:hint="default"/>
        <w:lang w:val="de-DE" w:eastAsia="en-US" w:bidi="ar-SA"/>
      </w:rPr>
    </w:lvl>
    <w:lvl w:ilvl="3">
      <w:start w:val="0"/>
      <w:numFmt w:val="bullet"/>
      <w:lvlText w:val="•"/>
      <w:lvlJc w:val="left"/>
      <w:pPr>
        <w:ind w:left="3578" w:hanging="356"/>
      </w:pPr>
      <w:rPr>
        <w:rFonts w:hint="default"/>
        <w:lang w:val="de-DE" w:eastAsia="en-US" w:bidi="ar-SA"/>
      </w:rPr>
    </w:lvl>
    <w:lvl w:ilvl="4">
      <w:start w:val="0"/>
      <w:numFmt w:val="bullet"/>
      <w:lvlText w:val="•"/>
      <w:lvlJc w:val="left"/>
      <w:pPr>
        <w:ind w:left="4484" w:hanging="356"/>
      </w:pPr>
      <w:rPr>
        <w:rFonts w:hint="default"/>
        <w:lang w:val="de-DE" w:eastAsia="en-US" w:bidi="ar-SA"/>
      </w:rPr>
    </w:lvl>
    <w:lvl w:ilvl="5">
      <w:start w:val="0"/>
      <w:numFmt w:val="bullet"/>
      <w:lvlText w:val="•"/>
      <w:lvlJc w:val="left"/>
      <w:pPr>
        <w:ind w:left="5391" w:hanging="356"/>
      </w:pPr>
      <w:rPr>
        <w:rFonts w:hint="default"/>
        <w:lang w:val="de-DE" w:eastAsia="en-US" w:bidi="ar-SA"/>
      </w:rPr>
    </w:lvl>
    <w:lvl w:ilvl="6">
      <w:start w:val="0"/>
      <w:numFmt w:val="bullet"/>
      <w:lvlText w:val="•"/>
      <w:lvlJc w:val="left"/>
      <w:pPr>
        <w:ind w:left="6297" w:hanging="356"/>
      </w:pPr>
      <w:rPr>
        <w:rFonts w:hint="default"/>
        <w:lang w:val="de-DE" w:eastAsia="en-US" w:bidi="ar-SA"/>
      </w:rPr>
    </w:lvl>
    <w:lvl w:ilvl="7">
      <w:start w:val="0"/>
      <w:numFmt w:val="bullet"/>
      <w:lvlText w:val="•"/>
      <w:lvlJc w:val="left"/>
      <w:pPr>
        <w:ind w:left="7203" w:hanging="356"/>
      </w:pPr>
      <w:rPr>
        <w:rFonts w:hint="default"/>
        <w:lang w:val="de-DE" w:eastAsia="en-US" w:bidi="ar-SA"/>
      </w:rPr>
    </w:lvl>
    <w:lvl w:ilvl="8">
      <w:start w:val="0"/>
      <w:numFmt w:val="bullet"/>
      <w:lvlText w:val="•"/>
      <w:lvlJc w:val="left"/>
      <w:pPr>
        <w:ind w:left="8109" w:hanging="356"/>
      </w:pPr>
      <w:rPr>
        <w:rFonts w:hint="default"/>
        <w:lang w:val="de-DE" w:eastAsia="en-US" w:bidi="ar-SA"/>
      </w:rPr>
    </w:lvl>
  </w:abstractNum>
  <w:abstractNum w:abstractNumId="1">
    <w:multiLevelType w:val="hybridMultilevel"/>
    <w:lvl w:ilvl="0">
      <w:start w:val="1"/>
      <w:numFmt w:val="decimal"/>
      <w:lvlText w:val="%1."/>
      <w:lvlJc w:val="left"/>
      <w:pPr>
        <w:ind w:left="707" w:hanging="567"/>
        <w:jc w:val="left"/>
      </w:pPr>
      <w:rPr>
        <w:rFonts w:hint="default" w:ascii="Arial" w:hAnsi="Arial" w:eastAsia="Arial" w:cs="Arial"/>
        <w:b/>
        <w:bCs/>
        <w:i w:val="0"/>
        <w:iCs w:val="0"/>
        <w:spacing w:val="-1"/>
        <w:w w:val="100"/>
        <w:sz w:val="28"/>
        <w:szCs w:val="28"/>
        <w:lang w:val="de-DE" w:eastAsia="en-US" w:bidi="ar-SA"/>
      </w:rPr>
    </w:lvl>
    <w:lvl w:ilvl="1">
      <w:start w:val="1"/>
      <w:numFmt w:val="decimal"/>
      <w:lvlText w:val="%1.%2"/>
      <w:lvlJc w:val="left"/>
      <w:pPr>
        <w:ind w:left="820" w:hanging="680"/>
        <w:jc w:val="left"/>
      </w:pPr>
      <w:rPr>
        <w:rFonts w:hint="default" w:ascii="Arial" w:hAnsi="Arial" w:eastAsia="Arial" w:cs="Arial"/>
        <w:b/>
        <w:bCs/>
        <w:i w:val="0"/>
        <w:iCs w:val="0"/>
        <w:spacing w:val="0"/>
        <w:w w:val="100"/>
        <w:sz w:val="24"/>
        <w:szCs w:val="24"/>
        <w:lang w:val="de-DE" w:eastAsia="en-US" w:bidi="ar-SA"/>
      </w:rPr>
    </w:lvl>
    <w:lvl w:ilvl="2">
      <w:start w:val="1"/>
      <w:numFmt w:val="decimal"/>
      <w:lvlText w:val="%1.%2.%3"/>
      <w:lvlJc w:val="left"/>
      <w:pPr>
        <w:ind w:left="936" w:hanging="795"/>
        <w:jc w:val="left"/>
      </w:pPr>
      <w:rPr>
        <w:rFonts w:hint="default" w:ascii="Arial" w:hAnsi="Arial" w:eastAsia="Arial" w:cs="Arial"/>
        <w:b/>
        <w:bCs/>
        <w:i w:val="0"/>
        <w:iCs w:val="0"/>
        <w:spacing w:val="-1"/>
        <w:w w:val="100"/>
        <w:sz w:val="22"/>
        <w:szCs w:val="22"/>
        <w:lang w:val="de-DE" w:eastAsia="en-US" w:bidi="ar-SA"/>
      </w:rPr>
    </w:lvl>
    <w:lvl w:ilvl="3">
      <w:start w:val="0"/>
      <w:numFmt w:val="bullet"/>
      <w:lvlText w:val="•"/>
      <w:lvlJc w:val="left"/>
      <w:pPr>
        <w:ind w:left="853" w:hanging="356"/>
      </w:pPr>
      <w:rPr>
        <w:rFonts w:hint="default" w:ascii="Calibri" w:hAnsi="Calibri" w:eastAsia="Calibri" w:cs="Calibri"/>
        <w:b w:val="0"/>
        <w:bCs w:val="0"/>
        <w:i w:val="0"/>
        <w:iCs w:val="0"/>
        <w:spacing w:val="0"/>
        <w:w w:val="92"/>
        <w:sz w:val="22"/>
        <w:szCs w:val="22"/>
        <w:lang w:val="de-DE" w:eastAsia="en-US" w:bidi="ar-SA"/>
      </w:rPr>
    </w:lvl>
    <w:lvl w:ilvl="4">
      <w:start w:val="0"/>
      <w:numFmt w:val="bullet"/>
      <w:lvlText w:val="•"/>
      <w:lvlJc w:val="left"/>
      <w:pPr>
        <w:ind w:left="2223" w:hanging="356"/>
      </w:pPr>
      <w:rPr>
        <w:rFonts w:hint="default"/>
        <w:lang w:val="de-DE" w:eastAsia="en-US" w:bidi="ar-SA"/>
      </w:rPr>
    </w:lvl>
    <w:lvl w:ilvl="5">
      <w:start w:val="0"/>
      <w:numFmt w:val="bullet"/>
      <w:lvlText w:val="•"/>
      <w:lvlJc w:val="left"/>
      <w:pPr>
        <w:ind w:left="3506" w:hanging="356"/>
      </w:pPr>
      <w:rPr>
        <w:rFonts w:hint="default"/>
        <w:lang w:val="de-DE" w:eastAsia="en-US" w:bidi="ar-SA"/>
      </w:rPr>
    </w:lvl>
    <w:lvl w:ilvl="6">
      <w:start w:val="0"/>
      <w:numFmt w:val="bullet"/>
      <w:lvlText w:val="•"/>
      <w:lvlJc w:val="left"/>
      <w:pPr>
        <w:ind w:left="4789" w:hanging="356"/>
      </w:pPr>
      <w:rPr>
        <w:rFonts w:hint="default"/>
        <w:lang w:val="de-DE" w:eastAsia="en-US" w:bidi="ar-SA"/>
      </w:rPr>
    </w:lvl>
    <w:lvl w:ilvl="7">
      <w:start w:val="0"/>
      <w:numFmt w:val="bullet"/>
      <w:lvlText w:val="•"/>
      <w:lvlJc w:val="left"/>
      <w:pPr>
        <w:ind w:left="6072" w:hanging="356"/>
      </w:pPr>
      <w:rPr>
        <w:rFonts w:hint="default"/>
        <w:lang w:val="de-DE" w:eastAsia="en-US" w:bidi="ar-SA"/>
      </w:rPr>
    </w:lvl>
    <w:lvl w:ilvl="8">
      <w:start w:val="0"/>
      <w:numFmt w:val="bullet"/>
      <w:lvlText w:val="•"/>
      <w:lvlJc w:val="left"/>
      <w:pPr>
        <w:ind w:left="7356" w:hanging="356"/>
      </w:pPr>
      <w:rPr>
        <w:rFonts w:hint="default"/>
        <w:lang w:val="de-DE" w:eastAsia="en-US" w:bidi="ar-SA"/>
      </w:rPr>
    </w:lvl>
  </w:abstractNum>
  <w:abstractNum w:abstractNumId="0">
    <w:multiLevelType w:val="hybridMultilevel"/>
    <w:lvl w:ilvl="0">
      <w:start w:val="1"/>
      <w:numFmt w:val="decimal"/>
      <w:lvlText w:val="%1."/>
      <w:lvlJc w:val="left"/>
      <w:pPr>
        <w:ind w:left="1273" w:hanging="1133"/>
        <w:jc w:val="left"/>
      </w:pPr>
      <w:rPr>
        <w:rFonts w:hint="default" w:ascii="Arial" w:hAnsi="Arial" w:eastAsia="Arial" w:cs="Arial"/>
        <w:b/>
        <w:bCs/>
        <w:i w:val="0"/>
        <w:iCs w:val="0"/>
        <w:spacing w:val="-1"/>
        <w:w w:val="100"/>
        <w:sz w:val="22"/>
        <w:szCs w:val="22"/>
        <w:lang w:val="de-DE" w:eastAsia="en-US" w:bidi="ar-SA"/>
      </w:rPr>
    </w:lvl>
    <w:lvl w:ilvl="1">
      <w:start w:val="1"/>
      <w:numFmt w:val="decimal"/>
      <w:lvlText w:val="%1.%2"/>
      <w:lvlJc w:val="left"/>
      <w:pPr>
        <w:ind w:left="1273" w:hanging="1133"/>
        <w:jc w:val="left"/>
      </w:pPr>
      <w:rPr>
        <w:rFonts w:hint="default" w:ascii="Arial" w:hAnsi="Arial" w:eastAsia="Arial" w:cs="Arial"/>
        <w:b w:val="0"/>
        <w:bCs w:val="0"/>
        <w:i w:val="0"/>
        <w:iCs w:val="0"/>
        <w:spacing w:val="-1"/>
        <w:w w:val="100"/>
        <w:sz w:val="22"/>
        <w:szCs w:val="22"/>
        <w:lang w:val="de-DE" w:eastAsia="en-US" w:bidi="ar-SA"/>
      </w:rPr>
    </w:lvl>
    <w:lvl w:ilvl="2">
      <w:start w:val="1"/>
      <w:numFmt w:val="decimal"/>
      <w:lvlText w:val="%1.%2.%3"/>
      <w:lvlJc w:val="left"/>
      <w:pPr>
        <w:ind w:left="1558" w:hanging="1136"/>
        <w:jc w:val="left"/>
      </w:pPr>
      <w:rPr>
        <w:rFonts w:hint="default" w:ascii="Arial" w:hAnsi="Arial" w:eastAsia="Arial" w:cs="Arial"/>
        <w:b w:val="0"/>
        <w:bCs w:val="0"/>
        <w:i w:val="0"/>
        <w:iCs w:val="0"/>
        <w:spacing w:val="-1"/>
        <w:w w:val="100"/>
        <w:sz w:val="22"/>
        <w:szCs w:val="22"/>
        <w:lang w:val="de-DE" w:eastAsia="en-US" w:bidi="ar-SA"/>
      </w:rPr>
    </w:lvl>
    <w:lvl w:ilvl="3">
      <w:start w:val="0"/>
      <w:numFmt w:val="bullet"/>
      <w:lvlText w:val="•"/>
      <w:lvlJc w:val="left"/>
      <w:pPr>
        <w:ind w:left="3418" w:hanging="1136"/>
      </w:pPr>
      <w:rPr>
        <w:rFonts w:hint="default"/>
        <w:lang w:val="de-DE" w:eastAsia="en-US" w:bidi="ar-SA"/>
      </w:rPr>
    </w:lvl>
    <w:lvl w:ilvl="4">
      <w:start w:val="0"/>
      <w:numFmt w:val="bullet"/>
      <w:lvlText w:val="•"/>
      <w:lvlJc w:val="left"/>
      <w:pPr>
        <w:ind w:left="4347" w:hanging="1136"/>
      </w:pPr>
      <w:rPr>
        <w:rFonts w:hint="default"/>
        <w:lang w:val="de-DE" w:eastAsia="en-US" w:bidi="ar-SA"/>
      </w:rPr>
    </w:lvl>
    <w:lvl w:ilvl="5">
      <w:start w:val="0"/>
      <w:numFmt w:val="bullet"/>
      <w:lvlText w:val="•"/>
      <w:lvlJc w:val="left"/>
      <w:pPr>
        <w:ind w:left="5276" w:hanging="1136"/>
      </w:pPr>
      <w:rPr>
        <w:rFonts w:hint="default"/>
        <w:lang w:val="de-DE" w:eastAsia="en-US" w:bidi="ar-SA"/>
      </w:rPr>
    </w:lvl>
    <w:lvl w:ilvl="6">
      <w:start w:val="0"/>
      <w:numFmt w:val="bullet"/>
      <w:lvlText w:val="•"/>
      <w:lvlJc w:val="left"/>
      <w:pPr>
        <w:ind w:left="6205" w:hanging="1136"/>
      </w:pPr>
      <w:rPr>
        <w:rFonts w:hint="default"/>
        <w:lang w:val="de-DE" w:eastAsia="en-US" w:bidi="ar-SA"/>
      </w:rPr>
    </w:lvl>
    <w:lvl w:ilvl="7">
      <w:start w:val="0"/>
      <w:numFmt w:val="bullet"/>
      <w:lvlText w:val="•"/>
      <w:lvlJc w:val="left"/>
      <w:pPr>
        <w:ind w:left="7134" w:hanging="1136"/>
      </w:pPr>
      <w:rPr>
        <w:rFonts w:hint="default"/>
        <w:lang w:val="de-DE" w:eastAsia="en-US" w:bidi="ar-SA"/>
      </w:rPr>
    </w:lvl>
    <w:lvl w:ilvl="8">
      <w:start w:val="0"/>
      <w:numFmt w:val="bullet"/>
      <w:lvlText w:val="•"/>
      <w:lvlJc w:val="left"/>
      <w:pPr>
        <w:ind w:left="8064" w:hanging="1136"/>
      </w:pPr>
      <w:rPr>
        <w:rFonts w:hint="default"/>
        <w:lang w:val="de-DE"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TOC1" w:type="paragraph">
    <w:name w:val="TOC 1"/>
    <w:basedOn w:val="Normal"/>
    <w:uiPriority w:val="1"/>
    <w:qFormat/>
    <w:pPr>
      <w:spacing w:before="409"/>
      <w:ind w:left="1269" w:hanging="1132"/>
    </w:pPr>
    <w:rPr>
      <w:rFonts w:ascii="Arial" w:hAnsi="Arial" w:eastAsia="Arial" w:cs="Arial"/>
      <w:b/>
      <w:bCs/>
      <w:sz w:val="22"/>
      <w:szCs w:val="22"/>
      <w:lang w:val="de-DE" w:eastAsia="en-US" w:bidi="ar-SA"/>
    </w:rPr>
  </w:style>
  <w:style w:styleId="TOC2" w:type="paragraph">
    <w:name w:val="TOC 2"/>
    <w:basedOn w:val="Normal"/>
    <w:uiPriority w:val="1"/>
    <w:qFormat/>
    <w:pPr>
      <w:spacing w:before="169"/>
      <w:ind w:left="1270" w:hanging="1132"/>
    </w:pPr>
    <w:rPr>
      <w:rFonts w:ascii="Arial" w:hAnsi="Arial" w:eastAsia="Arial" w:cs="Arial"/>
      <w:sz w:val="22"/>
      <w:szCs w:val="22"/>
      <w:lang w:val="de-DE" w:eastAsia="en-US" w:bidi="ar-SA"/>
    </w:rPr>
  </w:style>
  <w:style w:styleId="TOC3" w:type="paragraph">
    <w:name w:val="TOC 3"/>
    <w:basedOn w:val="Normal"/>
    <w:uiPriority w:val="1"/>
    <w:qFormat/>
    <w:pPr>
      <w:spacing w:before="426"/>
      <w:ind w:left="1273" w:hanging="1133"/>
    </w:pPr>
    <w:rPr>
      <w:rFonts w:ascii="Arial" w:hAnsi="Arial" w:eastAsia="Arial" w:cs="Arial"/>
      <w:b/>
      <w:bCs/>
      <w:sz w:val="22"/>
      <w:szCs w:val="22"/>
      <w:lang w:val="de-DE" w:eastAsia="en-US" w:bidi="ar-SA"/>
    </w:rPr>
  </w:style>
  <w:style w:styleId="TOC4" w:type="paragraph">
    <w:name w:val="TOC 4"/>
    <w:basedOn w:val="Normal"/>
    <w:uiPriority w:val="1"/>
    <w:qFormat/>
    <w:pPr>
      <w:spacing w:before="169"/>
      <w:ind w:left="1272" w:hanging="1132"/>
    </w:pPr>
    <w:rPr>
      <w:rFonts w:ascii="Arial" w:hAnsi="Arial" w:eastAsia="Arial" w:cs="Arial"/>
      <w:sz w:val="22"/>
      <w:szCs w:val="22"/>
      <w:lang w:val="de-DE" w:eastAsia="en-US" w:bidi="ar-SA"/>
    </w:rPr>
  </w:style>
  <w:style w:styleId="TOC5" w:type="paragraph">
    <w:name w:val="TOC 5"/>
    <w:basedOn w:val="Normal"/>
    <w:uiPriority w:val="1"/>
    <w:qFormat/>
    <w:pPr>
      <w:spacing w:before="172"/>
      <w:ind w:left="1556" w:hanging="1135"/>
    </w:pPr>
    <w:rPr>
      <w:rFonts w:ascii="Arial" w:hAnsi="Arial" w:eastAsia="Arial" w:cs="Arial"/>
      <w:sz w:val="22"/>
      <w:szCs w:val="22"/>
      <w:lang w:val="de-DE" w:eastAsia="en-US" w:bidi="ar-SA"/>
    </w:rPr>
  </w:style>
  <w:style w:styleId="BodyText" w:type="paragraph">
    <w:name w:val="Body Text"/>
    <w:basedOn w:val="Normal"/>
    <w:uiPriority w:val="1"/>
    <w:qFormat/>
    <w:pPr/>
    <w:rPr>
      <w:rFonts w:ascii="Arial" w:hAnsi="Arial" w:eastAsia="Arial" w:cs="Arial"/>
      <w:sz w:val="22"/>
      <w:szCs w:val="22"/>
      <w:lang w:val="de-DE" w:eastAsia="en-US" w:bidi="ar-SA"/>
    </w:rPr>
  </w:style>
  <w:style w:styleId="Heading1" w:type="paragraph">
    <w:name w:val="Heading 1"/>
    <w:basedOn w:val="Normal"/>
    <w:uiPriority w:val="1"/>
    <w:qFormat/>
    <w:pPr>
      <w:ind w:left="707" w:hanging="567"/>
      <w:outlineLvl w:val="1"/>
    </w:pPr>
    <w:rPr>
      <w:rFonts w:ascii="Arial" w:hAnsi="Arial" w:eastAsia="Arial" w:cs="Arial"/>
      <w:b/>
      <w:bCs/>
      <w:sz w:val="28"/>
      <w:szCs w:val="28"/>
      <w:lang w:val="de-DE" w:eastAsia="en-US" w:bidi="ar-SA"/>
    </w:rPr>
  </w:style>
  <w:style w:styleId="Heading2" w:type="paragraph">
    <w:name w:val="Heading 2"/>
    <w:basedOn w:val="Normal"/>
    <w:uiPriority w:val="1"/>
    <w:qFormat/>
    <w:pPr>
      <w:spacing w:before="140"/>
      <w:ind w:left="819" w:hanging="679"/>
      <w:outlineLvl w:val="2"/>
    </w:pPr>
    <w:rPr>
      <w:rFonts w:ascii="Arial" w:hAnsi="Arial" w:eastAsia="Arial" w:cs="Arial"/>
      <w:b/>
      <w:bCs/>
      <w:sz w:val="24"/>
      <w:szCs w:val="24"/>
      <w:lang w:val="de-DE" w:eastAsia="en-US" w:bidi="ar-SA"/>
    </w:rPr>
  </w:style>
  <w:style w:styleId="Heading3" w:type="paragraph">
    <w:name w:val="Heading 3"/>
    <w:basedOn w:val="Normal"/>
    <w:uiPriority w:val="1"/>
    <w:qFormat/>
    <w:pPr>
      <w:ind w:left="934" w:hanging="794"/>
      <w:outlineLvl w:val="3"/>
    </w:pPr>
    <w:rPr>
      <w:rFonts w:ascii="Arial" w:hAnsi="Arial" w:eastAsia="Arial" w:cs="Arial"/>
      <w:b/>
      <w:bCs/>
      <w:sz w:val="22"/>
      <w:szCs w:val="22"/>
      <w:lang w:val="de-DE" w:eastAsia="en-US" w:bidi="ar-SA"/>
    </w:rPr>
  </w:style>
  <w:style w:styleId="Title" w:type="paragraph">
    <w:name w:val="Title"/>
    <w:basedOn w:val="Normal"/>
    <w:uiPriority w:val="1"/>
    <w:qFormat/>
    <w:pPr>
      <w:ind w:left="140"/>
    </w:pPr>
    <w:rPr>
      <w:rFonts w:ascii="Arial" w:hAnsi="Arial" w:eastAsia="Arial" w:cs="Arial"/>
      <w:b/>
      <w:bCs/>
      <w:sz w:val="50"/>
      <w:szCs w:val="50"/>
      <w:lang w:val="de-DE" w:eastAsia="en-US" w:bidi="ar-SA"/>
    </w:rPr>
  </w:style>
  <w:style w:styleId="ListParagraph" w:type="paragraph">
    <w:name w:val="List Paragraph"/>
    <w:basedOn w:val="Normal"/>
    <w:uiPriority w:val="1"/>
    <w:qFormat/>
    <w:pPr>
      <w:ind w:left="853" w:hanging="1135"/>
    </w:pPr>
    <w:rPr>
      <w:rFonts w:ascii="Arial" w:hAnsi="Arial" w:eastAsia="Arial" w:cs="Arial"/>
      <w:lang w:val="de-DE" w:eastAsia="en-US" w:bidi="ar-SA"/>
    </w:rPr>
  </w:style>
  <w:style w:styleId="TableParagraph" w:type="paragraph">
    <w:name w:val="Table Paragraph"/>
    <w:basedOn w:val="Normal"/>
    <w:uiPriority w:val="1"/>
    <w:qFormat/>
    <w:pPr>
      <w:spacing w:before="56"/>
      <w:ind w:left="115"/>
    </w:pPr>
    <w:rPr>
      <w:rFonts w:ascii="Calibri" w:hAnsi="Calibri" w:eastAsia="Calibri" w:cs="Calibri"/>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s://www.epo.org/about-us/at-a-glance_de.html" TargetMode="External"/><Relationship Id="rId11" Type="http://schemas.openxmlformats.org/officeDocument/2006/relationships/image" Target="media/image3.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Company>European Patent Office</ap:Company>
  <ap:Template>Normal</ap:Template>
  <ap:TotalTime>0</ap:TotalTime>
  <ap:Application>Microsoft Office Word</ap:Application>
  <ap:DocSecurity>0</ap:DocSecurity>
  <ap:ScaleCrop>false</ap:ScaleCrop>
  <ap:LinksUpToDate>false</ap:LinksUpToDate>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Kindler</dc:creator>
  <dc:description/>
  <cp:keywords>, docId:A122F8E711EFD8F4070BC939B078F793</cp:keywords>
  <dcterms:created xsi:type="dcterms:W3CDTF">2024-11-06T15:49:34Z</dcterms:created>
  <dcterms:modified xsi:type="dcterms:W3CDTF">2024-11-06T15:49:34Z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0x01010081637C87A0E9EE41AA2AEE481D12FF52</vt:lpwstr>
  </property>
  <property fmtid="{D5CDD505-2E9C-101B-9397-08002B2CF9AE}" pid="3" name="Created">
    <vt:filetime>2024-11-04T00:00:00Z</vt:filetime>
  </property>
  <property fmtid="{D5CDD505-2E9C-101B-9397-08002B2CF9AE}" pid="4" name="Creator">
    <vt:lpwstr>Acrobat PDFMaker 24 for Word</vt:lpwstr>
  </property>
  <property fmtid="{D5CDD505-2E9C-101B-9397-08002B2CF9AE}" pid="5" name="LastSaved">
    <vt:filetime>2024-11-06T00:00:00Z</vt:filetime>
  </property>
  <property fmtid="{D5CDD505-2E9C-101B-9397-08002B2CF9AE}" pid="6" name="MediaServiceImageTags">
    <vt:lpwstr/>
  </property>
  <property fmtid="{D5CDD505-2E9C-101B-9397-08002B2CF9AE}" pid="7" name="Producer">
    <vt:lpwstr>Adobe PDF Library 24.2.23</vt:lpwstr>
  </property>
  <property fmtid="{D5CDD505-2E9C-101B-9397-08002B2CF9AE}" pid="8" name="SourceModified">
    <vt:lpwstr>D:20241104113200</vt:lpwstr>
  </property>
</Properties>
</file>